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A45E83" w:rsidRPr="007326BD" w14:paraId="712D2CDA" w14:textId="77777777" w:rsidTr="00A45E83">
        <w:tc>
          <w:tcPr>
            <w:tcW w:w="8978" w:type="dxa"/>
          </w:tcPr>
          <w:p w14:paraId="1E5C5655" w14:textId="01EECB82" w:rsidR="009F5BF2" w:rsidRDefault="00677E9B" w:rsidP="00245F49">
            <w:pPr>
              <w:spacing w:after="0" w:line="240" w:lineRule="auto"/>
              <w:jc w:val="center"/>
              <w:rPr>
                <w:rFonts w:ascii="Arial" w:hAnsi="Arial" w:cs="Arial"/>
                <w:b/>
                <w:sz w:val="24"/>
                <w:szCs w:val="28"/>
              </w:rPr>
            </w:pPr>
            <w:bookmarkStart w:id="0" w:name="ente"/>
            <w:bookmarkEnd w:id="0"/>
            <w:r>
              <w:rPr>
                <w:rFonts w:ascii="Arial" w:hAnsi="Arial" w:cs="Arial"/>
                <w:b/>
                <w:sz w:val="24"/>
                <w:szCs w:val="28"/>
              </w:rPr>
              <w:t>MUNICIPIO JAMAY</w:t>
            </w:r>
          </w:p>
          <w:p w14:paraId="5768C0A3" w14:textId="77777777" w:rsidR="00245F49" w:rsidRPr="004A7026" w:rsidRDefault="00245F49" w:rsidP="00245F49">
            <w:pPr>
              <w:spacing w:after="0" w:line="240" w:lineRule="auto"/>
              <w:jc w:val="center"/>
              <w:rPr>
                <w:rFonts w:ascii="Arial" w:hAnsi="Arial" w:cs="Arial"/>
                <w:b/>
                <w:sz w:val="24"/>
                <w:szCs w:val="28"/>
              </w:rPr>
            </w:pPr>
            <w:r w:rsidRPr="004A7026">
              <w:rPr>
                <w:rFonts w:ascii="Arial" w:hAnsi="Arial" w:cs="Arial"/>
                <w:b/>
                <w:sz w:val="24"/>
                <w:szCs w:val="28"/>
              </w:rPr>
              <w:t>NOTAS A LOS ESTADOS FINANCIEROS</w:t>
            </w:r>
          </w:p>
          <w:p w14:paraId="68B30B2C" w14:textId="77777777" w:rsidR="00A45E83" w:rsidRPr="006628DA" w:rsidRDefault="00245F49" w:rsidP="006628DA">
            <w:pPr>
              <w:spacing w:after="0" w:line="240" w:lineRule="auto"/>
              <w:jc w:val="center"/>
              <w:rPr>
                <w:rFonts w:ascii="Arial" w:hAnsi="Arial" w:cs="Arial"/>
                <w:b/>
                <w:sz w:val="24"/>
                <w:szCs w:val="28"/>
              </w:rPr>
            </w:pPr>
            <w:r w:rsidRPr="004A7026">
              <w:rPr>
                <w:rFonts w:ascii="Arial" w:hAnsi="Arial" w:cs="Arial"/>
                <w:b/>
                <w:sz w:val="24"/>
                <w:szCs w:val="28"/>
              </w:rPr>
              <w:t xml:space="preserve"> DE GESTIÓN ADMINISTRATIVA</w:t>
            </w:r>
          </w:p>
          <w:p w14:paraId="37C08EA5" w14:textId="4950B4E2" w:rsidR="00A45E83" w:rsidRPr="00EF11D0" w:rsidRDefault="00677E9B" w:rsidP="00A45E83">
            <w:pPr>
              <w:spacing w:after="0" w:line="240" w:lineRule="auto"/>
              <w:jc w:val="center"/>
              <w:rPr>
                <w:rFonts w:ascii="Arial" w:hAnsi="Arial" w:cs="Arial"/>
                <w:b/>
                <w:sz w:val="24"/>
                <w:szCs w:val="24"/>
              </w:rPr>
            </w:pPr>
            <w:bookmarkStart w:id="1" w:name="periodo"/>
            <w:bookmarkEnd w:id="1"/>
            <w:r>
              <w:rPr>
                <w:rFonts w:ascii="Arial" w:hAnsi="Arial" w:cs="Arial"/>
                <w:b/>
                <w:sz w:val="24"/>
                <w:szCs w:val="24"/>
              </w:rPr>
              <w:t xml:space="preserve">DEL 1 DE ENERO AL </w:t>
            </w:r>
            <w:r w:rsidR="002863DD">
              <w:rPr>
                <w:rFonts w:ascii="Arial" w:hAnsi="Arial" w:cs="Arial"/>
                <w:b/>
                <w:sz w:val="24"/>
                <w:szCs w:val="24"/>
              </w:rPr>
              <w:t>31</w:t>
            </w:r>
            <w:r>
              <w:rPr>
                <w:rFonts w:ascii="Arial" w:hAnsi="Arial" w:cs="Arial"/>
                <w:b/>
                <w:sz w:val="24"/>
                <w:szCs w:val="24"/>
              </w:rPr>
              <w:t xml:space="preserve"> DE </w:t>
            </w:r>
            <w:r w:rsidR="002863DD">
              <w:rPr>
                <w:rFonts w:ascii="Arial" w:hAnsi="Arial" w:cs="Arial"/>
                <w:b/>
                <w:sz w:val="24"/>
                <w:szCs w:val="24"/>
              </w:rPr>
              <w:t>DICIEMBRE</w:t>
            </w:r>
            <w:r>
              <w:rPr>
                <w:rFonts w:ascii="Arial" w:hAnsi="Arial" w:cs="Arial"/>
                <w:b/>
                <w:sz w:val="24"/>
                <w:szCs w:val="24"/>
              </w:rPr>
              <w:t xml:space="preserve"> DE 202</w:t>
            </w:r>
            <w:r w:rsidR="002863DD">
              <w:rPr>
                <w:rFonts w:ascii="Arial" w:hAnsi="Arial" w:cs="Arial"/>
                <w:b/>
                <w:sz w:val="24"/>
                <w:szCs w:val="24"/>
              </w:rPr>
              <w:t>1</w:t>
            </w:r>
          </w:p>
        </w:tc>
      </w:tr>
    </w:tbl>
    <w:p w14:paraId="6D1E8A06" w14:textId="77777777" w:rsidR="00806603" w:rsidRPr="007326BD" w:rsidRDefault="00806603" w:rsidP="00A45E83">
      <w:pPr>
        <w:spacing w:after="120" w:line="240" w:lineRule="auto"/>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A45E83" w:rsidRPr="007326BD" w14:paraId="2BC704C4" w14:textId="77777777" w:rsidTr="00A45E83">
        <w:tc>
          <w:tcPr>
            <w:tcW w:w="8978" w:type="dxa"/>
          </w:tcPr>
          <w:p w14:paraId="7A518B60" w14:textId="77777777" w:rsidR="00677E9B" w:rsidRDefault="00677E9B" w:rsidP="00677E9B">
            <w:pPr>
              <w:autoSpaceDE w:val="0"/>
              <w:autoSpaceDN w:val="0"/>
              <w:adjustRightInd w:val="0"/>
              <w:rPr>
                <w:rFonts w:cs="Calibri"/>
                <w:b/>
                <w:bCs/>
                <w:lang w:eastAsia="es-MX"/>
              </w:rPr>
            </w:pPr>
            <w:bookmarkStart w:id="2" w:name="cuerpo"/>
            <w:bookmarkEnd w:id="2"/>
            <w:r>
              <w:rPr>
                <w:rFonts w:cs="Calibri"/>
                <w:b/>
                <w:bCs/>
                <w:lang w:eastAsia="es-MX"/>
              </w:rPr>
              <w:t xml:space="preserve">Introducción </w:t>
            </w:r>
          </w:p>
          <w:p w14:paraId="255CDCD6" w14:textId="77777777" w:rsidR="00677E9B" w:rsidRDefault="00677E9B" w:rsidP="00677E9B">
            <w:pPr>
              <w:autoSpaceDE w:val="0"/>
              <w:autoSpaceDN w:val="0"/>
              <w:adjustRightInd w:val="0"/>
              <w:jc w:val="both"/>
              <w:rPr>
                <w:rFonts w:cs="Calibri"/>
                <w:lang w:eastAsia="es-MX"/>
              </w:rPr>
            </w:pPr>
            <w:r>
              <w:rPr>
                <w:rFonts w:cs="Calibri"/>
                <w:lang w:eastAsia="es-MX"/>
              </w:rPr>
              <w:t>Los Estados Financieros de los entes públicos, proveen de información financiera a los principales usuarios de la misma, al Congreso y a los ciudadanos. El objetivo del presente documento es la revelación del contexto y de los aspectos económicos-financieros más relevantes que influyeron en las decisiones del período, y que deberán ser considerados en la elaboración de los estados financieros para la mayor comprensión de los mismos y sus particularidades.</w:t>
            </w:r>
          </w:p>
          <w:p w14:paraId="7690B410" w14:textId="77777777" w:rsidR="00677E9B" w:rsidRDefault="00677E9B" w:rsidP="00677E9B">
            <w:pPr>
              <w:autoSpaceDE w:val="0"/>
              <w:autoSpaceDN w:val="0"/>
              <w:adjustRightInd w:val="0"/>
              <w:jc w:val="both"/>
              <w:rPr>
                <w:rFonts w:cs="Calibri"/>
                <w:lang w:eastAsia="es-MX"/>
              </w:rPr>
            </w:pPr>
            <w:r>
              <w:rPr>
                <w:rFonts w:cs="Calibri"/>
                <w:lang w:eastAsia="es-MX"/>
              </w:rPr>
              <w:t xml:space="preserve"> De esta manera, se informa y explica la respuesta del gobierno a las condiciones relacionadas con la información financiera de cada período de gestión; además, de exponer aquellas políticas que podrían afectar la toma de decisiones en períodos posteriores. </w:t>
            </w:r>
          </w:p>
          <w:p w14:paraId="2858BE1A" w14:textId="77777777" w:rsidR="00677E9B" w:rsidRDefault="00677E9B" w:rsidP="00677E9B">
            <w:pPr>
              <w:autoSpaceDE w:val="0"/>
              <w:autoSpaceDN w:val="0"/>
              <w:adjustRightInd w:val="0"/>
              <w:jc w:val="both"/>
              <w:rPr>
                <w:rFonts w:cs="Calibri"/>
                <w:lang w:eastAsia="es-MX"/>
              </w:rPr>
            </w:pPr>
            <w:r>
              <w:rPr>
                <w:rFonts w:cs="Calibri"/>
                <w:lang w:eastAsia="es-MX"/>
              </w:rPr>
              <w:t>Panorama Económico y Financiero se informará sobre las principales condiciones económico- financieras bajo las cuales el ente público estuvo operando; y las cuales influyeron en la toma de decisiones de la administración; tanto a nivel local como federal.</w:t>
            </w:r>
          </w:p>
          <w:p w14:paraId="6F81C1AF" w14:textId="77777777" w:rsidR="00677E9B" w:rsidRDefault="00677E9B" w:rsidP="00677E9B">
            <w:pPr>
              <w:autoSpaceDE w:val="0"/>
              <w:autoSpaceDN w:val="0"/>
              <w:adjustRightInd w:val="0"/>
              <w:jc w:val="both"/>
              <w:rPr>
                <w:rFonts w:cs="Calibri"/>
                <w:b/>
                <w:bCs/>
                <w:lang w:eastAsia="es-MX"/>
              </w:rPr>
            </w:pPr>
            <w:r>
              <w:rPr>
                <w:rFonts w:cs="Calibri"/>
                <w:b/>
                <w:bCs/>
                <w:lang w:eastAsia="es-MX"/>
              </w:rPr>
              <w:t xml:space="preserve"> Autorización e Historia </w:t>
            </w:r>
          </w:p>
          <w:p w14:paraId="5FF05966" w14:textId="77777777" w:rsidR="00677E9B" w:rsidRDefault="00677E9B" w:rsidP="00677E9B">
            <w:pPr>
              <w:autoSpaceDE w:val="0"/>
              <w:autoSpaceDN w:val="0"/>
              <w:adjustRightInd w:val="0"/>
              <w:jc w:val="both"/>
              <w:rPr>
                <w:rFonts w:cs="Calibri"/>
                <w:b/>
                <w:bCs/>
                <w:sz w:val="24"/>
                <w:szCs w:val="24"/>
                <w:lang w:eastAsia="es-MX"/>
              </w:rPr>
            </w:pPr>
            <w:r>
              <w:rPr>
                <w:rFonts w:cs="Calibri"/>
                <w:b/>
                <w:bCs/>
                <w:sz w:val="24"/>
                <w:szCs w:val="24"/>
                <w:lang w:eastAsia="es-MX"/>
              </w:rPr>
              <w:t xml:space="preserve">Jamay, para el año 1825 ya contaba con ayuntamiento y en 1833 ya se menciona como municipio, aunque no hay fecha exacta de cuando se erigió ya que en 1890 se anota como comisaría de elección popular del municipio de Ocotlán, con categoría de pueblo.  </w:t>
            </w:r>
          </w:p>
          <w:p w14:paraId="22A27D97" w14:textId="3387AACB" w:rsidR="00677E9B" w:rsidRDefault="00677E9B" w:rsidP="00677E9B">
            <w:pPr>
              <w:autoSpaceDE w:val="0"/>
              <w:autoSpaceDN w:val="0"/>
              <w:adjustRightInd w:val="0"/>
              <w:jc w:val="both"/>
              <w:rPr>
                <w:rFonts w:cs="Calibri"/>
                <w:b/>
                <w:bCs/>
                <w:sz w:val="24"/>
                <w:szCs w:val="24"/>
                <w:lang w:eastAsia="es-MX"/>
              </w:rPr>
            </w:pPr>
            <w:r>
              <w:rPr>
                <w:rFonts w:cs="Calibri"/>
                <w:b/>
                <w:bCs/>
                <w:sz w:val="24"/>
                <w:szCs w:val="24"/>
                <w:lang w:eastAsia="es-MX"/>
              </w:rPr>
              <w:t xml:space="preserve">Desde 1825 hasta 1914 perteneció al 3er. cantón de La Barca. </w:t>
            </w:r>
            <w:r w:rsidR="00DE0BF9">
              <w:rPr>
                <w:rFonts w:cs="Calibri"/>
                <w:b/>
                <w:bCs/>
                <w:sz w:val="24"/>
                <w:szCs w:val="24"/>
                <w:lang w:eastAsia="es-MX"/>
              </w:rPr>
              <w:t>Por decreto</w:t>
            </w:r>
            <w:r>
              <w:rPr>
                <w:rFonts w:cs="Calibri"/>
                <w:b/>
                <w:bCs/>
                <w:sz w:val="24"/>
                <w:szCs w:val="24"/>
                <w:lang w:eastAsia="es-MX"/>
              </w:rPr>
              <w:t xml:space="preserve"> número 1,785, publicado el 6 de abril de 1914, se erige en municipalidad la comisaría política y judicial de Jamay, teniendo por cabecera a dicho pueblo y comprendiendo en su jurisdicción las rancherías y haciendas de Capulines, Maltaraña, San Agustín y San Miguel de la Paz.</w:t>
            </w:r>
          </w:p>
          <w:p w14:paraId="4EB8D409" w14:textId="77777777" w:rsidR="00677E9B" w:rsidRDefault="00677E9B" w:rsidP="00677E9B">
            <w:pPr>
              <w:autoSpaceDE w:val="0"/>
              <w:autoSpaceDN w:val="0"/>
              <w:adjustRightInd w:val="0"/>
              <w:jc w:val="both"/>
              <w:rPr>
                <w:rFonts w:cs="Calibri"/>
                <w:b/>
                <w:bCs/>
                <w:lang w:eastAsia="es-MX"/>
              </w:rPr>
            </w:pPr>
            <w:r>
              <w:rPr>
                <w:rFonts w:cs="Calibri"/>
                <w:b/>
                <w:bCs/>
                <w:lang w:eastAsia="es-MX"/>
              </w:rPr>
              <w:t xml:space="preserve">El Municipio de Jamay es gobernado por un Ayuntamiento de elección popular directa integrado por el Presidente Municipal, 9 regidores y un síndico. </w:t>
            </w:r>
          </w:p>
          <w:p w14:paraId="23AB305E" w14:textId="77777777" w:rsidR="00677E9B" w:rsidRDefault="00677E9B" w:rsidP="00677E9B">
            <w:pPr>
              <w:autoSpaceDE w:val="0"/>
              <w:autoSpaceDN w:val="0"/>
              <w:adjustRightInd w:val="0"/>
              <w:jc w:val="both"/>
              <w:rPr>
                <w:rFonts w:ascii="Times New Roman" w:hAnsi="Times New Roman"/>
                <w:lang w:eastAsia="es-MX"/>
              </w:rPr>
            </w:pPr>
          </w:p>
          <w:p w14:paraId="796B4A7B" w14:textId="77777777" w:rsidR="00677E9B" w:rsidRDefault="00677E9B" w:rsidP="00677E9B">
            <w:pPr>
              <w:autoSpaceDE w:val="0"/>
              <w:autoSpaceDN w:val="0"/>
              <w:adjustRightInd w:val="0"/>
              <w:jc w:val="both"/>
              <w:rPr>
                <w:rFonts w:cs="Calibri"/>
                <w:lang w:eastAsia="es-MX"/>
              </w:rPr>
            </w:pPr>
            <w:r>
              <w:rPr>
                <w:rFonts w:cs="Calibri"/>
                <w:lang w:eastAsia="es-MX"/>
              </w:rPr>
              <w:t xml:space="preserve"> Organización y Objeto Social </w:t>
            </w:r>
          </w:p>
          <w:p w14:paraId="241543B3" w14:textId="77777777" w:rsidR="00677E9B" w:rsidRDefault="00677E9B" w:rsidP="00677E9B">
            <w:pPr>
              <w:autoSpaceDE w:val="0"/>
              <w:autoSpaceDN w:val="0"/>
              <w:adjustRightInd w:val="0"/>
              <w:jc w:val="both"/>
              <w:rPr>
                <w:rFonts w:cs="Calibri"/>
                <w:lang w:eastAsia="es-MX"/>
              </w:rPr>
            </w:pPr>
            <w:r>
              <w:rPr>
                <w:rFonts w:cs="Calibri"/>
                <w:lang w:eastAsia="es-MX"/>
              </w:rPr>
              <w:t>De conformidad con el artículo 115 de la Constitución Política de los Estados Unidos Mexicanos y la Constitución Política del Estado de Jalisco, el municipio libre es la base de la división territorial de los estados y de su organización política y administrativa, y está investido de personalidad jurídica y patrimonios propios.</w:t>
            </w:r>
          </w:p>
          <w:p w14:paraId="5ED2FCF9" w14:textId="77777777" w:rsidR="00677E9B" w:rsidRDefault="00677E9B" w:rsidP="00677E9B">
            <w:pPr>
              <w:autoSpaceDE w:val="0"/>
              <w:autoSpaceDN w:val="0"/>
              <w:adjustRightInd w:val="0"/>
              <w:jc w:val="both"/>
              <w:rPr>
                <w:rFonts w:cs="Calibri"/>
                <w:lang w:eastAsia="es-MX"/>
              </w:rPr>
            </w:pPr>
            <w:r>
              <w:rPr>
                <w:rFonts w:cs="Calibri"/>
                <w:lang w:eastAsia="es-MX"/>
              </w:rPr>
              <w:lastRenderedPageBreak/>
              <w:t>Para el despacho de los asuntos administrativos y para auxiliar de sus funciones al Ayuntamiento, el Municipio cuenta con dependencias y entidades, mismas que integran la administración centralizada y para municipal, respectivamente.</w:t>
            </w:r>
          </w:p>
          <w:p w14:paraId="5F3FB937" w14:textId="77777777" w:rsidR="00677E9B" w:rsidRDefault="00677E9B" w:rsidP="00677E9B">
            <w:pPr>
              <w:autoSpaceDE w:val="0"/>
              <w:autoSpaceDN w:val="0"/>
              <w:adjustRightInd w:val="0"/>
              <w:jc w:val="both"/>
              <w:rPr>
                <w:rFonts w:cs="Calibri"/>
                <w:lang w:eastAsia="es-MX"/>
              </w:rPr>
            </w:pPr>
            <w:r>
              <w:rPr>
                <w:rFonts w:cs="Calibri"/>
                <w:lang w:eastAsia="es-MX"/>
              </w:rPr>
              <w:t>La Hacienda Municipal se forma con los impuestos, derechos, productos y aprovechamientos que anualmente propongan los Ayuntamientos y apruebe el Congreso del Estado; los ingresos que establezcan las leyes fiscales a su favor y en todo caso con:</w:t>
            </w:r>
          </w:p>
          <w:p w14:paraId="2AB16E3D" w14:textId="77777777" w:rsidR="00677E9B" w:rsidRDefault="00677E9B" w:rsidP="00677E9B">
            <w:pPr>
              <w:autoSpaceDE w:val="0"/>
              <w:autoSpaceDN w:val="0"/>
              <w:adjustRightInd w:val="0"/>
              <w:ind w:left="720" w:hanging="360"/>
              <w:jc w:val="both"/>
              <w:rPr>
                <w:rFonts w:cs="Calibri"/>
                <w:lang w:eastAsia="es-MX"/>
              </w:rPr>
            </w:pPr>
            <w:r>
              <w:rPr>
                <w:rFonts w:cs="Calibri"/>
                <w:lang w:eastAsia="es-MX"/>
              </w:rPr>
              <w:t>I.</w:t>
            </w:r>
            <w:r>
              <w:rPr>
                <w:rFonts w:cs="Calibri"/>
                <w:lang w:eastAsia="es-MX"/>
              </w:rPr>
              <w:tab/>
              <w:t>Las contribuciones sobre la propiedad inmobiliaria, incluyendo tasas adicionales que establezca el Congreso del Estado, de su fraccionamiento, división, consolidación, translación y mejora, así como las que tengan por base el cambio del valor de los inmuebles.</w:t>
            </w:r>
          </w:p>
          <w:p w14:paraId="73DEEC47" w14:textId="77777777" w:rsidR="00677E9B" w:rsidRDefault="00677E9B" w:rsidP="00677E9B">
            <w:pPr>
              <w:autoSpaceDE w:val="0"/>
              <w:autoSpaceDN w:val="0"/>
              <w:adjustRightInd w:val="0"/>
              <w:ind w:left="720" w:hanging="360"/>
              <w:jc w:val="both"/>
              <w:rPr>
                <w:rFonts w:cs="Calibri"/>
                <w:lang w:eastAsia="es-MX"/>
              </w:rPr>
            </w:pPr>
            <w:r>
              <w:rPr>
                <w:rFonts w:cs="Calibri"/>
                <w:lang w:eastAsia="es-MX"/>
              </w:rPr>
              <w:t>II.</w:t>
            </w:r>
            <w:r>
              <w:rPr>
                <w:rFonts w:cs="Calibri"/>
                <w:lang w:eastAsia="es-MX"/>
              </w:rPr>
              <w:tab/>
              <w:t>Las participaciones federales que sean cubiertas por la Federación a los municipios, con arreglo a las bases, montos y plazos que anualmente se determinen por el Congreso del Estado; y</w:t>
            </w:r>
          </w:p>
          <w:p w14:paraId="4A1B62FE" w14:textId="77777777" w:rsidR="00677E9B" w:rsidRDefault="00677E9B" w:rsidP="00677E9B">
            <w:pPr>
              <w:autoSpaceDE w:val="0"/>
              <w:autoSpaceDN w:val="0"/>
              <w:adjustRightInd w:val="0"/>
              <w:ind w:left="720" w:hanging="360"/>
              <w:jc w:val="both"/>
              <w:rPr>
                <w:rFonts w:cs="Calibri"/>
                <w:lang w:eastAsia="es-MX"/>
              </w:rPr>
            </w:pPr>
            <w:r>
              <w:rPr>
                <w:rFonts w:cs="Calibri"/>
                <w:lang w:eastAsia="es-MX"/>
              </w:rPr>
              <w:t>III.</w:t>
            </w:r>
            <w:r>
              <w:rPr>
                <w:rFonts w:cs="Calibri"/>
                <w:lang w:eastAsia="es-MX"/>
              </w:rPr>
              <w:tab/>
              <w:t>Los ingresos derivados de la prestación de servicios públicos a su cargo.</w:t>
            </w:r>
          </w:p>
          <w:p w14:paraId="17B18637" w14:textId="77777777" w:rsidR="00677E9B" w:rsidRDefault="00677E9B" w:rsidP="00677E9B">
            <w:pPr>
              <w:autoSpaceDE w:val="0"/>
              <w:autoSpaceDN w:val="0"/>
              <w:adjustRightInd w:val="0"/>
              <w:jc w:val="both"/>
              <w:rPr>
                <w:rFonts w:cs="Calibri"/>
                <w:lang w:eastAsia="es-MX"/>
              </w:rPr>
            </w:pPr>
            <w:r>
              <w:rPr>
                <w:rFonts w:cs="Calibri"/>
                <w:lang w:eastAsia="es-MX"/>
              </w:rPr>
              <w:t>Además de los ingresos que forman parte de la Hacienda Municipal, se perciben las aportaciones federales para fines específicos, que a través de los diferentes fondos establezcan el presupuesto de egresos de la Federación, la Ley de Coordinación Fiscal y los convenios respectivos.</w:t>
            </w:r>
          </w:p>
          <w:p w14:paraId="10769A97" w14:textId="77777777" w:rsidR="00677E9B" w:rsidRDefault="00677E9B" w:rsidP="00677E9B">
            <w:pPr>
              <w:autoSpaceDE w:val="0"/>
              <w:autoSpaceDN w:val="0"/>
              <w:adjustRightInd w:val="0"/>
              <w:jc w:val="both"/>
              <w:rPr>
                <w:rFonts w:cs="Calibri"/>
                <w:lang w:eastAsia="es-MX"/>
              </w:rPr>
            </w:pPr>
            <w:r>
              <w:rPr>
                <w:rFonts w:cs="Calibri"/>
                <w:lang w:eastAsia="es-MX"/>
              </w:rPr>
              <w:t xml:space="preserve"> El Congreso del Estado debe aprobar la ley de ingresos del municipio y el Ayuntamiento el presupuesto de egresos, con base en sus ingresos disponibles, planes municipales de desarrollo, programas que señalen los objetivos, las metas con base en indicadores de desempeño y las unidades responsables de su ejecución, traducidos en capítulos, conceptos y partidas presupuestales, así como a los principios de racionalidad, austeridad, disciplina presupuestal, motivación, certeza, equidad y proporcionalidad.</w:t>
            </w:r>
          </w:p>
          <w:p w14:paraId="31154595" w14:textId="77777777" w:rsidR="00677E9B" w:rsidRDefault="00677E9B" w:rsidP="00677E9B">
            <w:pPr>
              <w:autoSpaceDE w:val="0"/>
              <w:autoSpaceDN w:val="0"/>
              <w:adjustRightInd w:val="0"/>
              <w:jc w:val="both"/>
              <w:rPr>
                <w:rFonts w:cs="Calibri"/>
                <w:lang w:eastAsia="es-MX"/>
              </w:rPr>
            </w:pPr>
            <w:r>
              <w:rPr>
                <w:rFonts w:cs="Calibri"/>
                <w:lang w:eastAsia="es-MX"/>
              </w:rPr>
              <w:t>El patrimonio municipal se integra por:</w:t>
            </w:r>
          </w:p>
          <w:p w14:paraId="181B3DD9" w14:textId="77777777" w:rsidR="00677E9B" w:rsidRDefault="00677E9B" w:rsidP="00677E9B">
            <w:pPr>
              <w:autoSpaceDE w:val="0"/>
              <w:autoSpaceDN w:val="0"/>
              <w:adjustRightInd w:val="0"/>
              <w:ind w:left="720" w:hanging="360"/>
              <w:jc w:val="both"/>
              <w:rPr>
                <w:rFonts w:cs="Calibri"/>
                <w:lang w:eastAsia="es-MX"/>
              </w:rPr>
            </w:pPr>
            <w:r>
              <w:rPr>
                <w:rFonts w:cs="Calibri"/>
                <w:lang w:eastAsia="es-MX"/>
              </w:rPr>
              <w:t>I.</w:t>
            </w:r>
            <w:r>
              <w:rPr>
                <w:rFonts w:cs="Calibri"/>
                <w:lang w:eastAsia="es-MX"/>
              </w:rPr>
              <w:tab/>
              <w:t>Los bienes de dominio público del Municipio;</w:t>
            </w:r>
          </w:p>
          <w:p w14:paraId="682063B4" w14:textId="77777777" w:rsidR="00677E9B" w:rsidRDefault="00677E9B" w:rsidP="00677E9B">
            <w:pPr>
              <w:autoSpaceDE w:val="0"/>
              <w:autoSpaceDN w:val="0"/>
              <w:adjustRightInd w:val="0"/>
              <w:ind w:left="720" w:hanging="360"/>
              <w:jc w:val="both"/>
              <w:rPr>
                <w:rFonts w:cs="Calibri"/>
                <w:lang w:eastAsia="es-MX"/>
              </w:rPr>
            </w:pPr>
            <w:r>
              <w:rPr>
                <w:rFonts w:cs="Calibri"/>
                <w:lang w:eastAsia="es-MX"/>
              </w:rPr>
              <w:t>II.</w:t>
            </w:r>
            <w:r>
              <w:rPr>
                <w:rFonts w:cs="Calibri"/>
                <w:lang w:eastAsia="es-MX"/>
              </w:rPr>
              <w:tab/>
              <w:t>Los bienes de dominio privado del Municipio;</w:t>
            </w:r>
          </w:p>
          <w:p w14:paraId="3D9DE13C" w14:textId="77777777" w:rsidR="00677E9B" w:rsidRDefault="00677E9B" w:rsidP="00677E9B">
            <w:pPr>
              <w:autoSpaceDE w:val="0"/>
              <w:autoSpaceDN w:val="0"/>
              <w:adjustRightInd w:val="0"/>
              <w:ind w:left="720" w:hanging="360"/>
              <w:jc w:val="both"/>
              <w:rPr>
                <w:rFonts w:cs="Calibri"/>
                <w:lang w:eastAsia="es-MX"/>
              </w:rPr>
            </w:pPr>
            <w:r>
              <w:rPr>
                <w:rFonts w:cs="Calibri"/>
                <w:lang w:eastAsia="es-MX"/>
              </w:rPr>
              <w:t>III.</w:t>
            </w:r>
            <w:r>
              <w:rPr>
                <w:rFonts w:cs="Calibri"/>
                <w:lang w:eastAsia="es-MX"/>
              </w:rPr>
              <w:tab/>
              <w:t>Los capitales, impuestos, e hipoteca y demás créditos en favor del Municipio, así como las donaciones y legados que se reciban; y</w:t>
            </w:r>
          </w:p>
          <w:p w14:paraId="6CD68366" w14:textId="77777777" w:rsidR="00677E9B" w:rsidRDefault="00677E9B" w:rsidP="00677E9B">
            <w:pPr>
              <w:autoSpaceDE w:val="0"/>
              <w:autoSpaceDN w:val="0"/>
              <w:adjustRightInd w:val="0"/>
              <w:ind w:left="720" w:hanging="360"/>
              <w:jc w:val="both"/>
              <w:rPr>
                <w:rFonts w:cs="Calibri"/>
                <w:lang w:eastAsia="es-MX"/>
              </w:rPr>
            </w:pPr>
            <w:r>
              <w:rPr>
                <w:rFonts w:cs="Calibri"/>
                <w:lang w:eastAsia="es-MX"/>
              </w:rPr>
              <w:t>IV.</w:t>
            </w:r>
            <w:r>
              <w:rPr>
                <w:rFonts w:cs="Calibri"/>
                <w:lang w:eastAsia="es-MX"/>
              </w:rPr>
              <w:tab/>
              <w:t>Las cuentas en administración, con las limitaciones establecidas en la ley.</w:t>
            </w:r>
          </w:p>
          <w:p w14:paraId="7C7BE0A1" w14:textId="77777777" w:rsidR="00677E9B" w:rsidRDefault="00677E9B" w:rsidP="00677E9B">
            <w:pPr>
              <w:autoSpaceDE w:val="0"/>
              <w:autoSpaceDN w:val="0"/>
              <w:adjustRightInd w:val="0"/>
              <w:jc w:val="both"/>
              <w:rPr>
                <w:rFonts w:cs="Calibri"/>
                <w:lang w:eastAsia="es-MX"/>
              </w:rPr>
            </w:pPr>
            <w:r>
              <w:rPr>
                <w:rFonts w:cs="Calibri"/>
                <w:lang w:eastAsia="es-MX"/>
              </w:rPr>
              <w:t>Los servicios públicos que el Municipio está obligado a prestar son los siguientes:</w:t>
            </w:r>
          </w:p>
          <w:p w14:paraId="37657501" w14:textId="03763C52" w:rsidR="00677E9B" w:rsidRDefault="00677E9B" w:rsidP="00677E9B">
            <w:pPr>
              <w:autoSpaceDE w:val="0"/>
              <w:autoSpaceDN w:val="0"/>
              <w:adjustRightInd w:val="0"/>
              <w:ind w:left="720" w:hanging="360"/>
              <w:jc w:val="both"/>
              <w:rPr>
                <w:rFonts w:cs="Calibri"/>
                <w:lang w:eastAsia="es-MX"/>
              </w:rPr>
            </w:pPr>
            <w:r>
              <w:rPr>
                <w:rFonts w:cs="Calibri"/>
                <w:lang w:eastAsia="es-MX"/>
              </w:rPr>
              <w:t>I.</w:t>
            </w:r>
            <w:r>
              <w:rPr>
                <w:rFonts w:cs="Calibri"/>
                <w:lang w:eastAsia="es-MX"/>
              </w:rPr>
              <w:tab/>
              <w:t xml:space="preserve">Agua potable, drenaje, alcantarillado, tratamiento y disposición de sus </w:t>
            </w:r>
            <w:r w:rsidR="00DE0BF9">
              <w:rPr>
                <w:rFonts w:cs="Calibri"/>
                <w:lang w:eastAsia="es-MX"/>
              </w:rPr>
              <w:t>aguas residuales</w:t>
            </w:r>
            <w:r>
              <w:rPr>
                <w:rFonts w:cs="Calibri"/>
                <w:lang w:eastAsia="es-MX"/>
              </w:rPr>
              <w:t>;</w:t>
            </w:r>
          </w:p>
          <w:p w14:paraId="4A466C39" w14:textId="77777777" w:rsidR="00677E9B" w:rsidRDefault="00677E9B" w:rsidP="00677E9B">
            <w:pPr>
              <w:autoSpaceDE w:val="0"/>
              <w:autoSpaceDN w:val="0"/>
              <w:adjustRightInd w:val="0"/>
              <w:ind w:left="720" w:hanging="360"/>
              <w:jc w:val="both"/>
              <w:rPr>
                <w:rFonts w:cs="Calibri"/>
                <w:lang w:eastAsia="es-MX"/>
              </w:rPr>
            </w:pPr>
            <w:r>
              <w:rPr>
                <w:rFonts w:cs="Calibri"/>
                <w:lang w:eastAsia="es-MX"/>
              </w:rPr>
              <w:t>II.</w:t>
            </w:r>
            <w:r>
              <w:rPr>
                <w:rFonts w:cs="Calibri"/>
                <w:lang w:eastAsia="es-MX"/>
              </w:rPr>
              <w:tab/>
              <w:t>Alumbrado público;</w:t>
            </w:r>
          </w:p>
          <w:p w14:paraId="0AB29DC7" w14:textId="77777777" w:rsidR="00677E9B" w:rsidRDefault="00677E9B" w:rsidP="00677E9B">
            <w:pPr>
              <w:autoSpaceDE w:val="0"/>
              <w:autoSpaceDN w:val="0"/>
              <w:adjustRightInd w:val="0"/>
              <w:ind w:left="720" w:hanging="360"/>
              <w:jc w:val="both"/>
              <w:rPr>
                <w:rFonts w:cs="Calibri"/>
                <w:lang w:eastAsia="es-MX"/>
              </w:rPr>
            </w:pPr>
            <w:r>
              <w:rPr>
                <w:rFonts w:cs="Calibri"/>
                <w:lang w:eastAsia="es-MX"/>
              </w:rPr>
              <w:lastRenderedPageBreak/>
              <w:t>III.</w:t>
            </w:r>
            <w:r>
              <w:rPr>
                <w:rFonts w:cs="Calibri"/>
                <w:lang w:eastAsia="es-MX"/>
              </w:rPr>
              <w:tab/>
              <w:t>Limpia, recolección, traslado, tratamiento y disposición final de residuos;</w:t>
            </w:r>
          </w:p>
          <w:p w14:paraId="015B9152" w14:textId="77777777" w:rsidR="00677E9B" w:rsidRDefault="00677E9B" w:rsidP="00677E9B">
            <w:pPr>
              <w:autoSpaceDE w:val="0"/>
              <w:autoSpaceDN w:val="0"/>
              <w:adjustRightInd w:val="0"/>
              <w:ind w:left="720" w:hanging="360"/>
              <w:jc w:val="both"/>
              <w:rPr>
                <w:rFonts w:cs="Calibri"/>
                <w:lang w:eastAsia="es-MX"/>
              </w:rPr>
            </w:pPr>
            <w:r>
              <w:rPr>
                <w:rFonts w:cs="Calibri"/>
                <w:lang w:eastAsia="es-MX"/>
              </w:rPr>
              <w:t>IV.</w:t>
            </w:r>
            <w:r>
              <w:rPr>
                <w:rFonts w:cs="Calibri"/>
                <w:lang w:eastAsia="es-MX"/>
              </w:rPr>
              <w:tab/>
              <w:t>Mercados y centrales de abastos;</w:t>
            </w:r>
          </w:p>
          <w:p w14:paraId="30E2A8D8" w14:textId="77777777" w:rsidR="00677E9B" w:rsidRDefault="00677E9B" w:rsidP="00677E9B">
            <w:pPr>
              <w:autoSpaceDE w:val="0"/>
              <w:autoSpaceDN w:val="0"/>
              <w:adjustRightInd w:val="0"/>
              <w:ind w:left="720" w:hanging="360"/>
              <w:jc w:val="both"/>
              <w:rPr>
                <w:rFonts w:cs="Calibri"/>
                <w:lang w:eastAsia="es-MX"/>
              </w:rPr>
            </w:pPr>
            <w:r>
              <w:rPr>
                <w:rFonts w:cs="Calibri"/>
                <w:lang w:eastAsia="es-MX"/>
              </w:rPr>
              <w:t>V.</w:t>
            </w:r>
            <w:r>
              <w:rPr>
                <w:rFonts w:cs="Calibri"/>
                <w:lang w:eastAsia="es-MX"/>
              </w:rPr>
              <w:tab/>
              <w:t>Rastros y servicios complementarios;</w:t>
            </w:r>
          </w:p>
          <w:p w14:paraId="027426D6" w14:textId="77777777" w:rsidR="00677E9B" w:rsidRDefault="00677E9B" w:rsidP="00677E9B">
            <w:pPr>
              <w:autoSpaceDE w:val="0"/>
              <w:autoSpaceDN w:val="0"/>
              <w:adjustRightInd w:val="0"/>
              <w:ind w:left="720" w:hanging="360"/>
              <w:jc w:val="both"/>
              <w:rPr>
                <w:rFonts w:cs="Calibri"/>
                <w:lang w:eastAsia="es-MX"/>
              </w:rPr>
            </w:pPr>
            <w:r>
              <w:rPr>
                <w:rFonts w:cs="Calibri"/>
                <w:lang w:eastAsia="es-MX"/>
              </w:rPr>
              <w:t>VI.</w:t>
            </w:r>
            <w:r>
              <w:rPr>
                <w:rFonts w:cs="Calibri"/>
                <w:lang w:eastAsia="es-MX"/>
              </w:rPr>
              <w:tab/>
              <w:t>Estacionamientos municipales;</w:t>
            </w:r>
          </w:p>
          <w:p w14:paraId="3D029FD8" w14:textId="77777777" w:rsidR="00677E9B" w:rsidRDefault="00677E9B" w:rsidP="00677E9B">
            <w:pPr>
              <w:autoSpaceDE w:val="0"/>
              <w:autoSpaceDN w:val="0"/>
              <w:adjustRightInd w:val="0"/>
              <w:ind w:left="720" w:hanging="360"/>
              <w:jc w:val="both"/>
              <w:rPr>
                <w:rFonts w:cs="Calibri"/>
                <w:lang w:eastAsia="es-MX"/>
              </w:rPr>
            </w:pPr>
            <w:r>
              <w:rPr>
                <w:rFonts w:cs="Calibri"/>
                <w:lang w:eastAsia="es-MX"/>
              </w:rPr>
              <w:t>VII.</w:t>
            </w:r>
            <w:r>
              <w:rPr>
                <w:rFonts w:cs="Calibri"/>
                <w:lang w:eastAsia="es-MX"/>
              </w:rPr>
              <w:tab/>
              <w:t>Panteones;</w:t>
            </w:r>
          </w:p>
          <w:p w14:paraId="28BAF73A" w14:textId="77777777" w:rsidR="00677E9B" w:rsidRDefault="00677E9B" w:rsidP="00677E9B">
            <w:pPr>
              <w:autoSpaceDE w:val="0"/>
              <w:autoSpaceDN w:val="0"/>
              <w:adjustRightInd w:val="0"/>
              <w:ind w:left="720" w:hanging="360"/>
              <w:jc w:val="both"/>
              <w:rPr>
                <w:rFonts w:cs="Calibri"/>
                <w:lang w:eastAsia="es-MX"/>
              </w:rPr>
            </w:pPr>
            <w:r>
              <w:rPr>
                <w:rFonts w:cs="Calibri"/>
                <w:lang w:eastAsia="es-MX"/>
              </w:rPr>
              <w:t>VIII.</w:t>
            </w:r>
            <w:r>
              <w:rPr>
                <w:rFonts w:cs="Calibri"/>
                <w:lang w:eastAsia="es-MX"/>
              </w:rPr>
              <w:tab/>
              <w:t>Calles, parques y jardines y su equipamiento;</w:t>
            </w:r>
          </w:p>
          <w:p w14:paraId="27AB4563" w14:textId="77777777" w:rsidR="00677E9B" w:rsidRDefault="00677E9B" w:rsidP="00677E9B">
            <w:pPr>
              <w:autoSpaceDE w:val="0"/>
              <w:autoSpaceDN w:val="0"/>
              <w:adjustRightInd w:val="0"/>
              <w:ind w:left="720" w:hanging="360"/>
              <w:jc w:val="both"/>
              <w:rPr>
                <w:rFonts w:cs="Calibri"/>
                <w:lang w:eastAsia="es-MX"/>
              </w:rPr>
            </w:pPr>
            <w:r>
              <w:rPr>
                <w:rFonts w:cs="Calibri"/>
                <w:lang w:eastAsia="es-MX"/>
              </w:rPr>
              <w:t>IX.</w:t>
            </w:r>
            <w:r>
              <w:rPr>
                <w:rFonts w:cs="Calibri"/>
                <w:lang w:eastAsia="es-MX"/>
              </w:rPr>
              <w:tab/>
              <w:t>Seguridad pública, policía preventiva municipal y tránsito;</w:t>
            </w:r>
          </w:p>
          <w:p w14:paraId="7091AE38" w14:textId="77777777" w:rsidR="00677E9B" w:rsidRDefault="00677E9B" w:rsidP="00677E9B">
            <w:pPr>
              <w:autoSpaceDE w:val="0"/>
              <w:autoSpaceDN w:val="0"/>
              <w:adjustRightInd w:val="0"/>
              <w:ind w:left="720" w:hanging="360"/>
              <w:jc w:val="both"/>
              <w:rPr>
                <w:rFonts w:cs="Calibri"/>
                <w:lang w:eastAsia="es-MX"/>
              </w:rPr>
            </w:pPr>
            <w:r>
              <w:rPr>
                <w:rFonts w:cs="Calibri"/>
                <w:lang w:eastAsia="es-MX"/>
              </w:rPr>
              <w:t>X.</w:t>
            </w:r>
            <w:r>
              <w:rPr>
                <w:rFonts w:cs="Calibri"/>
                <w:lang w:eastAsia="es-MX"/>
              </w:rPr>
              <w:tab/>
              <w:t>Centros deportivos municipales;</w:t>
            </w:r>
          </w:p>
          <w:p w14:paraId="1FD59095" w14:textId="77777777" w:rsidR="00677E9B" w:rsidRDefault="00677E9B" w:rsidP="00677E9B">
            <w:pPr>
              <w:autoSpaceDE w:val="0"/>
              <w:autoSpaceDN w:val="0"/>
              <w:adjustRightInd w:val="0"/>
              <w:ind w:left="720" w:hanging="360"/>
              <w:jc w:val="both"/>
              <w:rPr>
                <w:rFonts w:cs="Calibri"/>
                <w:lang w:eastAsia="es-MX"/>
              </w:rPr>
            </w:pPr>
            <w:r>
              <w:rPr>
                <w:rFonts w:cs="Calibri"/>
                <w:lang w:eastAsia="es-MX"/>
              </w:rPr>
              <w:t>XI.</w:t>
            </w:r>
            <w:r>
              <w:rPr>
                <w:rFonts w:cs="Calibri"/>
                <w:lang w:eastAsia="es-MX"/>
              </w:rPr>
              <w:tab/>
              <w:t>Centros culturales municipales;</w:t>
            </w:r>
          </w:p>
          <w:p w14:paraId="5F186FE1" w14:textId="77777777" w:rsidR="00677E9B" w:rsidRDefault="00677E9B" w:rsidP="00677E9B">
            <w:pPr>
              <w:autoSpaceDE w:val="0"/>
              <w:autoSpaceDN w:val="0"/>
              <w:adjustRightInd w:val="0"/>
              <w:ind w:left="720" w:hanging="360"/>
              <w:jc w:val="both"/>
              <w:rPr>
                <w:rFonts w:cs="Calibri"/>
                <w:lang w:eastAsia="es-MX"/>
              </w:rPr>
            </w:pPr>
            <w:r>
              <w:rPr>
                <w:rFonts w:cs="Calibri"/>
                <w:lang w:eastAsia="es-MX"/>
              </w:rPr>
              <w:t>XII.</w:t>
            </w:r>
            <w:r>
              <w:rPr>
                <w:rFonts w:cs="Calibri"/>
                <w:lang w:eastAsia="es-MX"/>
              </w:rPr>
              <w:tab/>
              <w:t>Protección civil y bomberos; y</w:t>
            </w:r>
          </w:p>
          <w:p w14:paraId="4788FD14" w14:textId="77777777" w:rsidR="00677E9B" w:rsidRDefault="00677E9B" w:rsidP="00677E9B">
            <w:pPr>
              <w:autoSpaceDE w:val="0"/>
              <w:autoSpaceDN w:val="0"/>
              <w:adjustRightInd w:val="0"/>
              <w:ind w:left="720" w:hanging="360"/>
              <w:jc w:val="both"/>
              <w:rPr>
                <w:rFonts w:cs="Calibri"/>
                <w:lang w:eastAsia="es-MX"/>
              </w:rPr>
            </w:pPr>
            <w:r>
              <w:rPr>
                <w:rFonts w:cs="Calibri"/>
                <w:lang w:eastAsia="es-MX"/>
              </w:rPr>
              <w:t>XIII.</w:t>
            </w:r>
            <w:r>
              <w:rPr>
                <w:rFonts w:cs="Calibri"/>
                <w:lang w:eastAsia="es-MX"/>
              </w:rPr>
              <w:tab/>
              <w:t>Los demás que el Congreso del Estado determine en atención a las condiciones territoriales socioeconómicas de los Municipios, así como su capacidad administrativa y financiera.</w:t>
            </w:r>
          </w:p>
          <w:p w14:paraId="6D61C925" w14:textId="77777777" w:rsidR="00677E9B" w:rsidRDefault="00677E9B" w:rsidP="00677E9B">
            <w:pPr>
              <w:autoSpaceDE w:val="0"/>
              <w:autoSpaceDN w:val="0"/>
              <w:adjustRightInd w:val="0"/>
              <w:jc w:val="both"/>
              <w:rPr>
                <w:rFonts w:cs="Calibri"/>
                <w:lang w:eastAsia="es-MX"/>
              </w:rPr>
            </w:pPr>
            <w:r>
              <w:rPr>
                <w:rFonts w:cs="Calibri"/>
                <w:lang w:eastAsia="es-MX"/>
              </w:rPr>
              <w:t>Los recursos y procedimientos jurídicos en los que se establecen los medios de defensa a favor de los administrados, en contra de actos administrativos emitidos por la autoridad municipal, que aquellos consideren han afectado su interés jurídico, se encuentran instituidos en diversa reglamentación de este Municipio.</w:t>
            </w:r>
          </w:p>
          <w:p w14:paraId="5B6E8B53" w14:textId="77777777" w:rsidR="00677E9B" w:rsidRDefault="00677E9B" w:rsidP="00677E9B">
            <w:pPr>
              <w:autoSpaceDE w:val="0"/>
              <w:autoSpaceDN w:val="0"/>
              <w:adjustRightInd w:val="0"/>
              <w:jc w:val="both"/>
              <w:rPr>
                <w:rFonts w:cs="Calibri"/>
                <w:lang w:eastAsia="es-MX"/>
              </w:rPr>
            </w:pPr>
            <w:r>
              <w:rPr>
                <w:rFonts w:cs="Calibri"/>
                <w:lang w:eastAsia="es-MX"/>
              </w:rPr>
              <w:t>El ejercicio fiscal del Municipio, abarca del 1ro de Enero al 31 de Diciembre de cada año. Las obligaciones fiscales federales y estatales a su cargo, en su carácter de persona moral con fines no lucrativos, son básicamente las siguientes:</w:t>
            </w:r>
          </w:p>
          <w:p w14:paraId="3AE3C4CC" w14:textId="77777777" w:rsidR="00677E9B" w:rsidRDefault="00677E9B" w:rsidP="00677E9B">
            <w:pPr>
              <w:autoSpaceDE w:val="0"/>
              <w:autoSpaceDN w:val="0"/>
              <w:adjustRightInd w:val="0"/>
              <w:ind w:left="720" w:hanging="360"/>
              <w:jc w:val="both"/>
              <w:rPr>
                <w:rFonts w:cs="Calibri"/>
                <w:lang w:eastAsia="es-MX"/>
              </w:rPr>
            </w:pPr>
            <w:r>
              <w:rPr>
                <w:rFonts w:ascii="Symbol" w:hAnsi="Symbol" w:cs="Symbol"/>
                <w:lang w:eastAsia="es-MX"/>
              </w:rPr>
              <w:t>·</w:t>
            </w:r>
            <w:r>
              <w:rPr>
                <w:rFonts w:ascii="Symbol" w:hAnsi="Symbol" w:cs="Symbol"/>
                <w:lang w:eastAsia="es-MX"/>
              </w:rPr>
              <w:tab/>
            </w:r>
            <w:r>
              <w:rPr>
                <w:rFonts w:cs="Calibri"/>
                <w:lang w:eastAsia="es-MX"/>
              </w:rPr>
              <w:t>Enterar los impuestos retenidos por las remuneraciones a sus trabajadores, así como a terceros, a quienes se paguen honorarios por servicios profesionales y arrendamientos de bienes muebles e inmuebles.</w:t>
            </w:r>
          </w:p>
          <w:p w14:paraId="4F019130" w14:textId="77777777" w:rsidR="00677E9B" w:rsidRDefault="00677E9B" w:rsidP="00677E9B">
            <w:pPr>
              <w:autoSpaceDE w:val="0"/>
              <w:autoSpaceDN w:val="0"/>
              <w:adjustRightInd w:val="0"/>
              <w:ind w:left="720" w:hanging="360"/>
              <w:jc w:val="both"/>
              <w:rPr>
                <w:rFonts w:cs="Calibri"/>
                <w:lang w:eastAsia="es-MX"/>
              </w:rPr>
            </w:pPr>
            <w:r>
              <w:rPr>
                <w:rFonts w:ascii="Symbol" w:hAnsi="Symbol" w:cs="Symbol"/>
                <w:lang w:eastAsia="es-MX"/>
              </w:rPr>
              <w:t>·</w:t>
            </w:r>
            <w:r>
              <w:rPr>
                <w:rFonts w:ascii="Symbol" w:hAnsi="Symbol" w:cs="Symbol"/>
                <w:lang w:eastAsia="es-MX"/>
              </w:rPr>
              <w:tab/>
            </w:r>
            <w:r>
              <w:rPr>
                <w:rFonts w:cs="Calibri"/>
                <w:lang w:eastAsia="es-MX"/>
              </w:rPr>
              <w:t>Presentar declaraciones informativas sobre las percepciones pagadas a su personal y las retenciones efectuadas.</w:t>
            </w:r>
          </w:p>
          <w:p w14:paraId="0A2BB86E" w14:textId="77777777" w:rsidR="00677E9B" w:rsidRDefault="00677E9B" w:rsidP="00677E9B">
            <w:pPr>
              <w:autoSpaceDE w:val="0"/>
              <w:autoSpaceDN w:val="0"/>
              <w:adjustRightInd w:val="0"/>
              <w:ind w:left="720" w:hanging="360"/>
              <w:jc w:val="both"/>
              <w:rPr>
                <w:rFonts w:cs="Calibri"/>
                <w:lang w:eastAsia="es-MX"/>
              </w:rPr>
            </w:pPr>
            <w:r>
              <w:rPr>
                <w:rFonts w:ascii="Symbol" w:hAnsi="Symbol" w:cs="Symbol"/>
                <w:lang w:eastAsia="es-MX"/>
              </w:rPr>
              <w:t>·</w:t>
            </w:r>
            <w:r>
              <w:rPr>
                <w:rFonts w:ascii="Symbol" w:hAnsi="Symbol" w:cs="Symbol"/>
                <w:lang w:eastAsia="es-MX"/>
              </w:rPr>
              <w:tab/>
            </w:r>
            <w:r>
              <w:rPr>
                <w:rFonts w:cs="Calibri"/>
                <w:lang w:eastAsia="es-MX"/>
              </w:rPr>
              <w:t>Timbrar los recibos de nómina por pago de sueldos y otros conceptos, y los honorarios asimilados a salarios.</w:t>
            </w:r>
          </w:p>
          <w:p w14:paraId="4A4F0D35" w14:textId="77777777" w:rsidR="00677E9B" w:rsidRDefault="00677E9B" w:rsidP="00677E9B">
            <w:pPr>
              <w:autoSpaceDE w:val="0"/>
              <w:autoSpaceDN w:val="0"/>
              <w:adjustRightInd w:val="0"/>
              <w:ind w:left="720" w:hanging="360"/>
              <w:jc w:val="both"/>
              <w:rPr>
                <w:rFonts w:cs="Calibri"/>
                <w:lang w:eastAsia="es-MX"/>
              </w:rPr>
            </w:pPr>
            <w:r>
              <w:rPr>
                <w:rFonts w:ascii="Symbol" w:hAnsi="Symbol" w:cs="Symbol"/>
                <w:lang w:eastAsia="es-MX"/>
              </w:rPr>
              <w:t>·</w:t>
            </w:r>
            <w:r>
              <w:rPr>
                <w:rFonts w:ascii="Symbol" w:hAnsi="Symbol" w:cs="Symbol"/>
                <w:lang w:eastAsia="es-MX"/>
              </w:rPr>
              <w:tab/>
            </w:r>
            <w:r>
              <w:rPr>
                <w:rFonts w:cs="Calibri"/>
                <w:lang w:eastAsia="es-MX"/>
              </w:rPr>
              <w:t>Emitir comprobantes digitales de los ingresos por las contribuciones y otros ingresos percibidos por el Municipio.</w:t>
            </w:r>
          </w:p>
          <w:p w14:paraId="55BA7B66" w14:textId="77777777" w:rsidR="00677E9B" w:rsidRDefault="00677E9B" w:rsidP="00677E9B">
            <w:pPr>
              <w:autoSpaceDE w:val="0"/>
              <w:autoSpaceDN w:val="0"/>
              <w:adjustRightInd w:val="0"/>
              <w:ind w:left="720" w:hanging="360"/>
              <w:jc w:val="both"/>
              <w:rPr>
                <w:rFonts w:cs="Calibri"/>
                <w:lang w:eastAsia="es-MX"/>
              </w:rPr>
            </w:pPr>
            <w:r>
              <w:rPr>
                <w:rFonts w:ascii="Symbol" w:hAnsi="Symbol" w:cs="Symbol"/>
                <w:lang w:eastAsia="es-MX"/>
              </w:rPr>
              <w:t>·</w:t>
            </w:r>
            <w:r>
              <w:rPr>
                <w:rFonts w:ascii="Symbol" w:hAnsi="Symbol" w:cs="Symbol"/>
                <w:lang w:eastAsia="es-MX"/>
              </w:rPr>
              <w:tab/>
            </w:r>
            <w:r>
              <w:rPr>
                <w:rFonts w:cs="Calibri"/>
                <w:lang w:eastAsia="es-MX"/>
              </w:rPr>
              <w:t>Enterar el impuesto estatal retenido.</w:t>
            </w:r>
          </w:p>
          <w:p w14:paraId="6E1CED64" w14:textId="77777777" w:rsidR="00677E9B" w:rsidRDefault="00677E9B" w:rsidP="00677E9B">
            <w:pPr>
              <w:autoSpaceDE w:val="0"/>
              <w:autoSpaceDN w:val="0"/>
              <w:adjustRightInd w:val="0"/>
              <w:jc w:val="both"/>
              <w:rPr>
                <w:rFonts w:cs="Calibri"/>
                <w:b/>
                <w:bCs/>
                <w:lang w:eastAsia="es-MX"/>
              </w:rPr>
            </w:pPr>
            <w:r>
              <w:rPr>
                <w:rFonts w:cs="Calibri"/>
                <w:b/>
                <w:bCs/>
                <w:lang w:eastAsia="es-MX"/>
              </w:rPr>
              <w:lastRenderedPageBreak/>
              <w:t>Base de Preparación de los Estados Financieros</w:t>
            </w:r>
          </w:p>
          <w:p w14:paraId="66CC0066" w14:textId="77777777" w:rsidR="00677E9B" w:rsidRDefault="00677E9B" w:rsidP="00677E9B">
            <w:pPr>
              <w:autoSpaceDE w:val="0"/>
              <w:autoSpaceDN w:val="0"/>
              <w:adjustRightInd w:val="0"/>
              <w:jc w:val="both"/>
              <w:rPr>
                <w:rFonts w:cs="Calibri"/>
                <w:lang w:eastAsia="es-MX"/>
              </w:rPr>
            </w:pPr>
            <w:r>
              <w:rPr>
                <w:rFonts w:cs="Calibri"/>
                <w:lang w:eastAsia="es-MX"/>
              </w:rPr>
              <w:t xml:space="preserve">Los estados financieros y presupuestarios son elaborados con base en la información que arroja el sistema de información electrónico llamado </w:t>
            </w:r>
            <w:r>
              <w:rPr>
                <w:rFonts w:cs="Calibri"/>
                <w:i/>
                <w:iCs/>
                <w:lang w:eastAsia="es-MX"/>
              </w:rPr>
              <w:t>SACG.NET</w:t>
            </w:r>
            <w:r>
              <w:rPr>
                <w:rFonts w:cs="Calibri"/>
                <w:lang w:eastAsia="es-MX"/>
              </w:rPr>
              <w:t>, el cual procesa los datos a los que se da entrada en cada centro de registro, afectando en tiempo real y en forma simultánea, la contabilidad y el control presupuestal.</w:t>
            </w:r>
          </w:p>
          <w:p w14:paraId="3B3838A0" w14:textId="77777777" w:rsidR="00677E9B" w:rsidRDefault="00677E9B" w:rsidP="00677E9B">
            <w:pPr>
              <w:autoSpaceDE w:val="0"/>
              <w:autoSpaceDN w:val="0"/>
              <w:adjustRightInd w:val="0"/>
              <w:jc w:val="both"/>
              <w:rPr>
                <w:rFonts w:cs="Calibri"/>
                <w:lang w:eastAsia="es-MX"/>
              </w:rPr>
            </w:pPr>
            <w:r>
              <w:rPr>
                <w:rFonts w:cs="Calibri"/>
                <w:lang w:eastAsia="es-MX"/>
              </w:rPr>
              <w:t>Los estados financieros al 30 de Junio de 2020, fueron preparados con base en las disposiciones de la Ley General de Contabilidad Gubernamental y los acuerdos emitidos por el Consejo Nacional de Armonización Contable, sin embargo, no se ha dado efecto a ciertos lineamientos contables cuyo efecto no se refleja en dichos estados y que se describen a continuación:</w:t>
            </w:r>
          </w:p>
          <w:p w14:paraId="76E1175B" w14:textId="77777777" w:rsidR="00677E9B" w:rsidRDefault="00677E9B" w:rsidP="00677E9B">
            <w:pPr>
              <w:autoSpaceDE w:val="0"/>
              <w:autoSpaceDN w:val="0"/>
              <w:adjustRightInd w:val="0"/>
              <w:ind w:left="720" w:hanging="360"/>
              <w:jc w:val="both"/>
              <w:rPr>
                <w:rFonts w:cs="Calibri"/>
                <w:lang w:eastAsia="es-MX"/>
              </w:rPr>
            </w:pPr>
            <w:r>
              <w:rPr>
                <w:rFonts w:ascii="Symbol" w:hAnsi="Symbol" w:cs="Symbol"/>
                <w:lang w:eastAsia="es-MX"/>
              </w:rPr>
              <w:t>·</w:t>
            </w:r>
            <w:r>
              <w:rPr>
                <w:rFonts w:ascii="Symbol" w:hAnsi="Symbol" w:cs="Symbol"/>
                <w:lang w:eastAsia="es-MX"/>
              </w:rPr>
              <w:tab/>
            </w:r>
            <w:r>
              <w:rPr>
                <w:rFonts w:cs="Calibri"/>
                <w:lang w:eastAsia="es-MX"/>
              </w:rPr>
              <w:t>No han sido conciliadas las existencias de los bienes muebles, inmuebles e intangibles del ente público y sus valores, determinadas como resultado de un inventario físico, contra los registrados en la contabilidad a esa misma fecha.</w:t>
            </w:r>
          </w:p>
          <w:p w14:paraId="3449F7F8" w14:textId="77777777" w:rsidR="00677E9B" w:rsidRDefault="00677E9B" w:rsidP="00677E9B">
            <w:pPr>
              <w:autoSpaceDE w:val="0"/>
              <w:autoSpaceDN w:val="0"/>
              <w:adjustRightInd w:val="0"/>
              <w:ind w:left="720" w:hanging="360"/>
              <w:jc w:val="both"/>
              <w:rPr>
                <w:rFonts w:cs="Calibri"/>
                <w:lang w:eastAsia="es-MX"/>
              </w:rPr>
            </w:pPr>
            <w:r>
              <w:rPr>
                <w:rFonts w:ascii="Symbol" w:hAnsi="Symbol" w:cs="Symbol"/>
                <w:lang w:eastAsia="es-MX"/>
              </w:rPr>
              <w:t>·</w:t>
            </w:r>
            <w:r>
              <w:rPr>
                <w:rFonts w:ascii="Symbol" w:hAnsi="Symbol" w:cs="Symbol"/>
                <w:lang w:eastAsia="es-MX"/>
              </w:rPr>
              <w:tab/>
            </w:r>
            <w:r>
              <w:rPr>
                <w:rFonts w:cs="Calibri"/>
                <w:lang w:eastAsia="es-MX"/>
              </w:rPr>
              <w:t>No está registrada contablemente, la depreciación de los bienes muebles e inmuebles capitalizados, ni la amortización de los activos intangibles, en virtud de lo mencionado en el inciso anterior ya que no se ha asignado una vida útil estimada a los activos.</w:t>
            </w:r>
          </w:p>
          <w:p w14:paraId="14BAACF4" w14:textId="77777777" w:rsidR="00677E9B" w:rsidRDefault="00677E9B" w:rsidP="00677E9B">
            <w:pPr>
              <w:autoSpaceDE w:val="0"/>
              <w:autoSpaceDN w:val="0"/>
              <w:adjustRightInd w:val="0"/>
              <w:ind w:left="720" w:hanging="360"/>
              <w:jc w:val="both"/>
              <w:rPr>
                <w:rFonts w:cs="Calibri"/>
                <w:lang w:eastAsia="es-MX"/>
              </w:rPr>
            </w:pPr>
            <w:r>
              <w:rPr>
                <w:rFonts w:ascii="Symbol" w:hAnsi="Symbol" w:cs="Symbol"/>
                <w:lang w:eastAsia="es-MX"/>
              </w:rPr>
              <w:t>·</w:t>
            </w:r>
            <w:r>
              <w:rPr>
                <w:rFonts w:ascii="Symbol" w:hAnsi="Symbol" w:cs="Symbol"/>
                <w:lang w:eastAsia="es-MX"/>
              </w:rPr>
              <w:tab/>
            </w:r>
            <w:r>
              <w:rPr>
                <w:rFonts w:cs="Calibri"/>
                <w:lang w:eastAsia="es-MX"/>
              </w:rPr>
              <w:t>No se han contabilizado las bajas de bienes muebles e inmuebles que previamente habían sido registrados como activos no circulantes.</w:t>
            </w:r>
          </w:p>
          <w:p w14:paraId="5889C788" w14:textId="77777777" w:rsidR="00677E9B" w:rsidRDefault="00677E9B" w:rsidP="00677E9B">
            <w:pPr>
              <w:autoSpaceDE w:val="0"/>
              <w:autoSpaceDN w:val="0"/>
              <w:adjustRightInd w:val="0"/>
              <w:ind w:left="720" w:hanging="360"/>
              <w:jc w:val="both"/>
              <w:rPr>
                <w:rFonts w:cs="Calibri"/>
                <w:lang w:eastAsia="es-MX"/>
              </w:rPr>
            </w:pPr>
            <w:r>
              <w:rPr>
                <w:rFonts w:ascii="Symbol" w:hAnsi="Symbol" w:cs="Symbol"/>
                <w:lang w:eastAsia="es-MX"/>
              </w:rPr>
              <w:t>·</w:t>
            </w:r>
            <w:r>
              <w:rPr>
                <w:rFonts w:ascii="Symbol" w:hAnsi="Symbol" w:cs="Symbol"/>
                <w:lang w:eastAsia="es-MX"/>
              </w:rPr>
              <w:tab/>
            </w:r>
            <w:r>
              <w:rPr>
                <w:rFonts w:cs="Calibri"/>
                <w:lang w:eastAsia="es-MX"/>
              </w:rPr>
              <w:t>No se tienen registradas provisiones de pasivo derivadas de contingencias.</w:t>
            </w:r>
          </w:p>
          <w:p w14:paraId="38B8A3C5" w14:textId="77777777" w:rsidR="00677E9B" w:rsidRDefault="00677E9B" w:rsidP="00677E9B">
            <w:pPr>
              <w:autoSpaceDE w:val="0"/>
              <w:autoSpaceDN w:val="0"/>
              <w:adjustRightInd w:val="0"/>
              <w:jc w:val="both"/>
              <w:rPr>
                <w:rFonts w:ascii="Times New Roman" w:hAnsi="Times New Roman"/>
                <w:lang w:eastAsia="es-MX"/>
              </w:rPr>
            </w:pPr>
          </w:p>
          <w:p w14:paraId="1E6F7D9B" w14:textId="77777777" w:rsidR="00677E9B" w:rsidRDefault="00677E9B" w:rsidP="00677E9B">
            <w:pPr>
              <w:autoSpaceDE w:val="0"/>
              <w:autoSpaceDN w:val="0"/>
              <w:adjustRightInd w:val="0"/>
              <w:jc w:val="both"/>
              <w:rPr>
                <w:rFonts w:cs="Calibri"/>
                <w:lang w:eastAsia="es-MX"/>
              </w:rPr>
            </w:pPr>
            <w:r>
              <w:rPr>
                <w:rFonts w:cs="Calibri"/>
                <w:lang w:eastAsia="es-MX"/>
              </w:rPr>
              <w:t>SUSTANCIA ECONOMICA</w:t>
            </w:r>
          </w:p>
          <w:p w14:paraId="36327043" w14:textId="77777777" w:rsidR="00677E9B" w:rsidRDefault="00677E9B" w:rsidP="00677E9B">
            <w:pPr>
              <w:autoSpaceDE w:val="0"/>
              <w:autoSpaceDN w:val="0"/>
              <w:adjustRightInd w:val="0"/>
              <w:jc w:val="both"/>
              <w:rPr>
                <w:rFonts w:cs="Calibri"/>
                <w:lang w:eastAsia="es-MX"/>
              </w:rPr>
            </w:pPr>
            <w:r>
              <w:rPr>
                <w:rFonts w:cs="Calibri"/>
                <w:lang w:eastAsia="es-MX"/>
              </w:rPr>
              <w:t>Es el reconocimiento contables de las transacciones, transformaciones internas y otros eventos, que afectan económicamente al ente público y delimitan la operación del Sietema de Contabilidad Gubernamental.</w:t>
            </w:r>
          </w:p>
          <w:p w14:paraId="480982B8" w14:textId="77777777" w:rsidR="00677E9B" w:rsidRDefault="00677E9B" w:rsidP="00677E9B">
            <w:pPr>
              <w:autoSpaceDE w:val="0"/>
              <w:autoSpaceDN w:val="0"/>
              <w:adjustRightInd w:val="0"/>
              <w:jc w:val="both"/>
              <w:rPr>
                <w:rFonts w:cs="Calibri"/>
                <w:lang w:eastAsia="es-MX"/>
              </w:rPr>
            </w:pPr>
            <w:r>
              <w:rPr>
                <w:rFonts w:cs="Calibri"/>
                <w:lang w:eastAsia="es-MX"/>
              </w:rPr>
              <w:t>ENTES PÚBLICOS</w:t>
            </w:r>
          </w:p>
          <w:p w14:paraId="2FE8B884" w14:textId="77777777" w:rsidR="00677E9B" w:rsidRDefault="00677E9B" w:rsidP="00677E9B">
            <w:pPr>
              <w:autoSpaceDE w:val="0"/>
              <w:autoSpaceDN w:val="0"/>
              <w:adjustRightInd w:val="0"/>
              <w:jc w:val="both"/>
              <w:rPr>
                <w:rFonts w:cs="Calibri"/>
                <w:lang w:eastAsia="es-MX"/>
              </w:rPr>
            </w:pPr>
            <w:r>
              <w:rPr>
                <w:rFonts w:cs="Calibri"/>
                <w:lang w:eastAsia="es-MX"/>
              </w:rPr>
              <w:t>Los poderes ejecutivo, legislativo y judicial de la federación y de las entidades federativas; los entes autónomos de la federación y de las entidades federativas; los ayuntamientos de los municipios; los órganos político-administrativos de las demarcaciones territoriales del Distrito Federal; y las entidades de la administración pública para estatal, ya sean federales, estatales o municipales.</w:t>
            </w:r>
          </w:p>
          <w:p w14:paraId="0DFB7A78" w14:textId="77777777" w:rsidR="00677E9B" w:rsidRDefault="00677E9B" w:rsidP="00677E9B">
            <w:pPr>
              <w:autoSpaceDE w:val="0"/>
              <w:autoSpaceDN w:val="0"/>
              <w:adjustRightInd w:val="0"/>
              <w:jc w:val="both"/>
              <w:rPr>
                <w:rFonts w:cs="Calibri"/>
                <w:lang w:eastAsia="es-MX"/>
              </w:rPr>
            </w:pPr>
            <w:r>
              <w:rPr>
                <w:rFonts w:cs="Calibri"/>
                <w:lang w:eastAsia="es-MX"/>
              </w:rPr>
              <w:t>EXISTENCIA PERMANENTE</w:t>
            </w:r>
          </w:p>
          <w:p w14:paraId="03961142" w14:textId="77777777" w:rsidR="00677E9B" w:rsidRDefault="00677E9B" w:rsidP="00677E9B">
            <w:pPr>
              <w:autoSpaceDE w:val="0"/>
              <w:autoSpaceDN w:val="0"/>
              <w:adjustRightInd w:val="0"/>
              <w:jc w:val="both"/>
              <w:rPr>
                <w:rFonts w:cs="Calibri"/>
                <w:lang w:eastAsia="es-MX"/>
              </w:rPr>
            </w:pPr>
            <w:r>
              <w:rPr>
                <w:rFonts w:cs="Calibri"/>
                <w:lang w:eastAsia="es-MX"/>
              </w:rPr>
              <w:t>La actividad del ente público se establece por tiempo indefinido, salvo disposición legal en la que se especifique lo contrario.</w:t>
            </w:r>
          </w:p>
          <w:p w14:paraId="2F20C547" w14:textId="77777777" w:rsidR="00677E9B" w:rsidRDefault="00677E9B" w:rsidP="00677E9B">
            <w:pPr>
              <w:autoSpaceDE w:val="0"/>
              <w:autoSpaceDN w:val="0"/>
              <w:adjustRightInd w:val="0"/>
              <w:jc w:val="both"/>
              <w:rPr>
                <w:rFonts w:cs="Calibri"/>
                <w:lang w:eastAsia="es-MX"/>
              </w:rPr>
            </w:pPr>
            <w:r>
              <w:rPr>
                <w:rFonts w:cs="Calibri"/>
                <w:lang w:eastAsia="es-MX"/>
              </w:rPr>
              <w:lastRenderedPageBreak/>
              <w:t>REVELACIÓN SUFICIENTE</w:t>
            </w:r>
          </w:p>
          <w:p w14:paraId="173D0665" w14:textId="77777777" w:rsidR="00677E9B" w:rsidRDefault="00677E9B" w:rsidP="00677E9B">
            <w:pPr>
              <w:autoSpaceDE w:val="0"/>
              <w:autoSpaceDN w:val="0"/>
              <w:adjustRightInd w:val="0"/>
              <w:jc w:val="both"/>
              <w:rPr>
                <w:rFonts w:cs="Calibri"/>
                <w:lang w:eastAsia="es-MX"/>
              </w:rPr>
            </w:pPr>
            <w:r>
              <w:rPr>
                <w:rFonts w:cs="Calibri"/>
                <w:lang w:eastAsia="es-MX"/>
              </w:rPr>
              <w:t>Los estados y la información financiera deben mostrar amplia y claramente la situación financiera y los resultados del ente público.</w:t>
            </w:r>
          </w:p>
          <w:p w14:paraId="1B2AFCC0" w14:textId="77777777" w:rsidR="00677E9B" w:rsidRDefault="00677E9B" w:rsidP="00677E9B">
            <w:pPr>
              <w:autoSpaceDE w:val="0"/>
              <w:autoSpaceDN w:val="0"/>
              <w:adjustRightInd w:val="0"/>
              <w:jc w:val="both"/>
              <w:rPr>
                <w:rFonts w:cs="Calibri"/>
                <w:lang w:eastAsia="es-MX"/>
              </w:rPr>
            </w:pPr>
            <w:r>
              <w:rPr>
                <w:rFonts w:cs="Calibri"/>
                <w:lang w:eastAsia="es-MX"/>
              </w:rPr>
              <w:t>IMPORTANCIA RELATIVA</w:t>
            </w:r>
          </w:p>
          <w:p w14:paraId="5B2F2418" w14:textId="77777777" w:rsidR="00677E9B" w:rsidRDefault="00677E9B" w:rsidP="00677E9B">
            <w:pPr>
              <w:autoSpaceDE w:val="0"/>
              <w:autoSpaceDN w:val="0"/>
              <w:adjustRightInd w:val="0"/>
              <w:jc w:val="both"/>
              <w:rPr>
                <w:rFonts w:cs="Calibri"/>
                <w:lang w:eastAsia="es-MX"/>
              </w:rPr>
            </w:pPr>
            <w:r>
              <w:rPr>
                <w:rFonts w:cs="Calibri"/>
                <w:lang w:eastAsia="es-MX"/>
              </w:rPr>
              <w:t>La información debe mostrar los aspectos importantes de la entidad que fueron reconocidos contablemente.</w:t>
            </w:r>
          </w:p>
          <w:p w14:paraId="3A889E76" w14:textId="77777777" w:rsidR="00677E9B" w:rsidRDefault="00677E9B" w:rsidP="00677E9B">
            <w:pPr>
              <w:autoSpaceDE w:val="0"/>
              <w:autoSpaceDN w:val="0"/>
              <w:adjustRightInd w:val="0"/>
              <w:jc w:val="both"/>
              <w:rPr>
                <w:rFonts w:cs="Calibri"/>
                <w:lang w:eastAsia="es-MX"/>
              </w:rPr>
            </w:pPr>
            <w:r>
              <w:rPr>
                <w:rFonts w:cs="Calibri"/>
                <w:lang w:eastAsia="es-MX"/>
              </w:rPr>
              <w:t>REGISTRO E INTEGRACION PRESUPUESTARIA</w:t>
            </w:r>
          </w:p>
          <w:p w14:paraId="2633E45E" w14:textId="77777777" w:rsidR="00677E9B" w:rsidRDefault="00677E9B" w:rsidP="00677E9B">
            <w:pPr>
              <w:autoSpaceDE w:val="0"/>
              <w:autoSpaceDN w:val="0"/>
              <w:adjustRightInd w:val="0"/>
              <w:jc w:val="both"/>
              <w:rPr>
                <w:rFonts w:cs="Calibri"/>
                <w:lang w:eastAsia="es-MX"/>
              </w:rPr>
            </w:pPr>
            <w:r>
              <w:rPr>
                <w:rFonts w:cs="Calibri"/>
                <w:lang w:eastAsia="es-MX"/>
              </w:rPr>
              <w:t>La información presupuestaria de los entes públicos se integra en la contabilidad en los mismos términos que se presentan en la ley de ingresos y en el decreto del presupuesto de egresos, de acuerdo a la naturaleza económica que le corresponda. El registro presupuestario de ingreso y del egreso en los entes públicos se debe reflejar en la contabilidad, considerando sus efectos patrimoniales y su vinculación con las etapas presupuestarias correspondientes.</w:t>
            </w:r>
          </w:p>
          <w:p w14:paraId="2FCCB946" w14:textId="77777777" w:rsidR="00677E9B" w:rsidRDefault="00677E9B" w:rsidP="00677E9B">
            <w:pPr>
              <w:autoSpaceDE w:val="0"/>
              <w:autoSpaceDN w:val="0"/>
              <w:adjustRightInd w:val="0"/>
              <w:jc w:val="both"/>
              <w:rPr>
                <w:rFonts w:cs="Calibri"/>
                <w:lang w:eastAsia="es-MX"/>
              </w:rPr>
            </w:pPr>
            <w:r>
              <w:rPr>
                <w:rFonts w:cs="Calibri"/>
                <w:lang w:eastAsia="es-MX"/>
              </w:rPr>
              <w:t>CONSOLIDACIÓN DE LA INFORMACION FINANCIERA</w:t>
            </w:r>
          </w:p>
          <w:p w14:paraId="5BEC8513" w14:textId="77777777" w:rsidR="00677E9B" w:rsidRDefault="00677E9B" w:rsidP="00677E9B">
            <w:pPr>
              <w:autoSpaceDE w:val="0"/>
              <w:autoSpaceDN w:val="0"/>
              <w:adjustRightInd w:val="0"/>
              <w:jc w:val="both"/>
              <w:rPr>
                <w:rFonts w:cs="Calibri"/>
                <w:lang w:eastAsia="es-MX"/>
              </w:rPr>
            </w:pPr>
            <w:r>
              <w:rPr>
                <w:rFonts w:cs="Calibri"/>
                <w:lang w:eastAsia="es-MX"/>
              </w:rPr>
              <w:t>Los estados financieros de los entes públicos deberán presentar de manera consolidada la situación financiera, los resultados de operación, el flujo de efectivo  o los cambios en la situación financiera y las variaciones a la Hacienda Pública, como si se tratara de un solo ente público.</w:t>
            </w:r>
          </w:p>
          <w:p w14:paraId="1BBA1128" w14:textId="77777777" w:rsidR="00677E9B" w:rsidRDefault="00677E9B" w:rsidP="00677E9B">
            <w:pPr>
              <w:autoSpaceDE w:val="0"/>
              <w:autoSpaceDN w:val="0"/>
              <w:adjustRightInd w:val="0"/>
              <w:jc w:val="both"/>
              <w:rPr>
                <w:rFonts w:cs="Calibri"/>
                <w:lang w:eastAsia="es-MX"/>
              </w:rPr>
            </w:pPr>
            <w:r>
              <w:rPr>
                <w:rFonts w:cs="Calibri"/>
                <w:lang w:eastAsia="es-MX"/>
              </w:rPr>
              <w:t>DEVENGADO CONTABLE</w:t>
            </w:r>
          </w:p>
          <w:p w14:paraId="4C30EA8C" w14:textId="77777777" w:rsidR="00677E9B" w:rsidRDefault="00677E9B" w:rsidP="00677E9B">
            <w:pPr>
              <w:autoSpaceDE w:val="0"/>
              <w:autoSpaceDN w:val="0"/>
              <w:adjustRightInd w:val="0"/>
              <w:jc w:val="both"/>
              <w:rPr>
                <w:rFonts w:cs="Calibri"/>
                <w:lang w:eastAsia="es-MX"/>
              </w:rPr>
            </w:pPr>
            <w:r>
              <w:rPr>
                <w:rFonts w:cs="Calibri"/>
                <w:lang w:eastAsia="es-MX"/>
              </w:rPr>
              <w:t>Los registros contables de los entes públicos se llevarán con base acumulativa. El ingreso devengado, es el momento contable que se realiza cuando existe jurídicamente el derecho de cobro de impuestos, derechos, productos, aprovechamientos y otros ingresos por parte de los entes públicos. El gasto devengado, es el momento contable que refleja el reconocimiento de una obligación de pago a favor de terceros por la recepción de conformidad de bienes, servicios y obra pública contratados; así como de las obligaciones que derivan de tratados, leyes decretos, resoluciones y sentencias definitivas.</w:t>
            </w:r>
          </w:p>
          <w:p w14:paraId="0BA2CD7C" w14:textId="77777777" w:rsidR="00677E9B" w:rsidRDefault="00677E9B" w:rsidP="00677E9B">
            <w:pPr>
              <w:autoSpaceDE w:val="0"/>
              <w:autoSpaceDN w:val="0"/>
              <w:adjustRightInd w:val="0"/>
              <w:jc w:val="both"/>
              <w:rPr>
                <w:rFonts w:cs="Calibri"/>
                <w:lang w:eastAsia="es-MX"/>
              </w:rPr>
            </w:pPr>
            <w:r>
              <w:rPr>
                <w:rFonts w:cs="Calibri"/>
                <w:lang w:eastAsia="es-MX"/>
              </w:rPr>
              <w:t>VALUACION</w:t>
            </w:r>
          </w:p>
          <w:p w14:paraId="7FB1D29A" w14:textId="77777777" w:rsidR="00677E9B" w:rsidRDefault="00677E9B" w:rsidP="00677E9B">
            <w:pPr>
              <w:autoSpaceDE w:val="0"/>
              <w:autoSpaceDN w:val="0"/>
              <w:adjustRightInd w:val="0"/>
              <w:jc w:val="both"/>
              <w:rPr>
                <w:rFonts w:cs="Calibri"/>
                <w:lang w:eastAsia="es-MX"/>
              </w:rPr>
            </w:pPr>
            <w:r>
              <w:rPr>
                <w:rFonts w:cs="Calibri"/>
                <w:lang w:eastAsia="es-MX"/>
              </w:rPr>
              <w:t>Todos los eventos que afecten económicamente al ente público deben ser cuantificados en términos monetarios y se registrarán al costo histórico o al valor económico más objetico registrándose en moneda nacional.</w:t>
            </w:r>
          </w:p>
          <w:p w14:paraId="63E965DD" w14:textId="77777777" w:rsidR="00677E9B" w:rsidRDefault="00677E9B" w:rsidP="00677E9B">
            <w:pPr>
              <w:autoSpaceDE w:val="0"/>
              <w:autoSpaceDN w:val="0"/>
              <w:adjustRightInd w:val="0"/>
              <w:jc w:val="both"/>
              <w:rPr>
                <w:rFonts w:cs="Calibri"/>
                <w:lang w:eastAsia="es-MX"/>
              </w:rPr>
            </w:pPr>
            <w:r>
              <w:rPr>
                <w:rFonts w:cs="Calibri"/>
                <w:lang w:eastAsia="es-MX"/>
              </w:rPr>
              <w:t>DUALIDAD ECONOMICA</w:t>
            </w:r>
          </w:p>
          <w:p w14:paraId="0BF5BC4F" w14:textId="77777777" w:rsidR="00677E9B" w:rsidRDefault="00677E9B" w:rsidP="00677E9B">
            <w:pPr>
              <w:autoSpaceDE w:val="0"/>
              <w:autoSpaceDN w:val="0"/>
              <w:adjustRightInd w:val="0"/>
              <w:jc w:val="both"/>
              <w:rPr>
                <w:rFonts w:cs="Calibri"/>
                <w:lang w:eastAsia="es-MX"/>
              </w:rPr>
            </w:pPr>
            <w:r>
              <w:rPr>
                <w:rFonts w:cs="Calibri"/>
                <w:lang w:eastAsia="es-MX"/>
              </w:rPr>
              <w:t>El ente público debe reconocer en la contabilidad, la representación de las transacciones y algún otro evento que afecte su situación financiera, su composición por los recursos asignados para el logro de sus fines y por sus fuentes, conforme a los derechos y obligaciones.</w:t>
            </w:r>
          </w:p>
          <w:p w14:paraId="6D45E130" w14:textId="77777777" w:rsidR="00677E9B" w:rsidRDefault="00677E9B" w:rsidP="00677E9B">
            <w:pPr>
              <w:autoSpaceDE w:val="0"/>
              <w:autoSpaceDN w:val="0"/>
              <w:adjustRightInd w:val="0"/>
              <w:jc w:val="both"/>
              <w:rPr>
                <w:rFonts w:cs="Calibri"/>
                <w:lang w:eastAsia="es-MX"/>
              </w:rPr>
            </w:pPr>
            <w:r>
              <w:rPr>
                <w:rFonts w:cs="Calibri"/>
                <w:lang w:eastAsia="es-MX"/>
              </w:rPr>
              <w:lastRenderedPageBreak/>
              <w:t>CONSISTENCIA</w:t>
            </w:r>
          </w:p>
          <w:p w14:paraId="2CDCDB03" w14:textId="77777777" w:rsidR="00677E9B" w:rsidRDefault="00677E9B" w:rsidP="00677E9B">
            <w:pPr>
              <w:autoSpaceDE w:val="0"/>
              <w:autoSpaceDN w:val="0"/>
              <w:adjustRightInd w:val="0"/>
              <w:jc w:val="both"/>
              <w:rPr>
                <w:rFonts w:cs="Calibri"/>
                <w:lang w:eastAsia="es-MX"/>
              </w:rPr>
            </w:pPr>
            <w:r>
              <w:rPr>
                <w:rFonts w:cs="Calibri"/>
                <w:lang w:eastAsia="es-MX"/>
              </w:rPr>
              <w:t>Ante la existencia de operaciones similares en un ente público, debe corresponder un mismo tratamiento contable, el cual debe permanecer a través del tiempo, en tanto no cambie la esencia económica de las operaciones.</w:t>
            </w:r>
          </w:p>
          <w:p w14:paraId="2FCABD36" w14:textId="77777777" w:rsidR="00677E9B" w:rsidRDefault="00677E9B" w:rsidP="00677E9B">
            <w:pPr>
              <w:autoSpaceDE w:val="0"/>
              <w:autoSpaceDN w:val="0"/>
              <w:adjustRightInd w:val="0"/>
              <w:spacing w:after="0" w:line="240" w:lineRule="auto"/>
              <w:rPr>
                <w:rFonts w:ascii="Arial" w:hAnsi="Arial" w:cs="Arial"/>
                <w:sz w:val="23"/>
                <w:szCs w:val="23"/>
                <w:lang w:eastAsia="es-MX"/>
              </w:rPr>
            </w:pPr>
          </w:p>
          <w:p w14:paraId="47A1F87F" w14:textId="77777777" w:rsidR="00A45E83" w:rsidRPr="007326BD" w:rsidRDefault="00A45E83" w:rsidP="00A45E83">
            <w:pPr>
              <w:spacing w:after="0" w:line="240" w:lineRule="auto"/>
              <w:jc w:val="both"/>
              <w:rPr>
                <w:rFonts w:ascii="Arial" w:hAnsi="Arial" w:cs="Arial"/>
                <w:sz w:val="24"/>
                <w:szCs w:val="24"/>
              </w:rPr>
            </w:pPr>
          </w:p>
        </w:tc>
      </w:tr>
    </w:tbl>
    <w:p w14:paraId="0D0EAADF" w14:textId="77777777" w:rsidR="00A45E83" w:rsidRDefault="00A45E83">
      <w:pPr>
        <w:rPr>
          <w:rFonts w:ascii="Arial" w:hAnsi="Arial" w:cs="Arial"/>
        </w:rPr>
      </w:pPr>
    </w:p>
    <w:p w14:paraId="06BDF46C" w14:textId="77777777" w:rsidR="008E706B" w:rsidRDefault="008E706B">
      <w:pPr>
        <w:rPr>
          <w:rFonts w:ascii="Arial" w:hAnsi="Arial" w:cs="Arial"/>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4"/>
        <w:gridCol w:w="1248"/>
        <w:gridCol w:w="3846"/>
      </w:tblGrid>
      <w:tr w:rsidR="0009560A" w:rsidRPr="001F0913" w14:paraId="6FEAA7E6" w14:textId="77777777" w:rsidTr="00983255">
        <w:trPr>
          <w:jc w:val="center"/>
        </w:trPr>
        <w:tc>
          <w:tcPr>
            <w:tcW w:w="3794" w:type="dxa"/>
            <w:shd w:val="clear" w:color="auto" w:fill="auto"/>
            <w:vAlign w:val="center"/>
          </w:tcPr>
          <w:p w14:paraId="40568AAE" w14:textId="77777777" w:rsidR="0009560A" w:rsidRPr="001F0913" w:rsidRDefault="00A45336" w:rsidP="0009560A">
            <w:pPr>
              <w:rPr>
                <w:rFonts w:ascii="Arial" w:hAnsi="Arial" w:cs="Arial"/>
                <w:sz w:val="20"/>
              </w:rPr>
            </w:pPr>
            <w:r w:rsidRPr="001F0913">
              <w:rPr>
                <w:rFonts w:ascii="Arial" w:hAnsi="Arial" w:cs="Arial"/>
                <w:noProof/>
                <w:lang w:eastAsia="es-MX"/>
              </w:rPr>
              <mc:AlternateContent>
                <mc:Choice Requires="wps">
                  <w:drawing>
                    <wp:anchor distT="0" distB="0" distL="114300" distR="114300" simplePos="0" relativeHeight="251657216" behindDoc="0" locked="0" layoutInCell="1" allowOverlap="1" wp14:anchorId="2CF952AD" wp14:editId="73E592C8">
                      <wp:simplePos x="0" y="0"/>
                      <wp:positionH relativeFrom="column">
                        <wp:posOffset>-22860</wp:posOffset>
                      </wp:positionH>
                      <wp:positionV relativeFrom="paragraph">
                        <wp:posOffset>259715</wp:posOffset>
                      </wp:positionV>
                      <wp:extent cx="2295525" cy="0"/>
                      <wp:effectExtent l="5080" t="5080" r="13970" b="1397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5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AE36C2" id="_x0000_t32" coordsize="21600,21600" o:spt="32" o:oned="t" path="m,l21600,21600e" filled="f">
                      <v:path arrowok="t" fillok="f" o:connecttype="none"/>
                      <o:lock v:ext="edit" shapetype="t"/>
                    </v:shapetype>
                    <v:shape id="AutoShape 4" o:spid="_x0000_s1026" type="#_x0000_t32" style="position:absolute;margin-left:-1.8pt;margin-top:20.45pt;width:180.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"/>
                  </w:pict>
                </mc:Fallback>
              </mc:AlternateContent>
            </w:r>
          </w:p>
        </w:tc>
        <w:tc>
          <w:tcPr>
            <w:tcW w:w="1276" w:type="dxa"/>
            <w:shd w:val="clear" w:color="auto" w:fill="auto"/>
            <w:vAlign w:val="center"/>
          </w:tcPr>
          <w:p w14:paraId="53131EEF" w14:textId="77777777" w:rsidR="0009560A" w:rsidRPr="001F0913" w:rsidRDefault="0009560A" w:rsidP="0009560A">
            <w:pPr>
              <w:rPr>
                <w:rFonts w:ascii="Arial" w:hAnsi="Arial" w:cs="Arial"/>
                <w:sz w:val="20"/>
              </w:rPr>
            </w:pPr>
          </w:p>
        </w:tc>
        <w:tc>
          <w:tcPr>
            <w:tcW w:w="3908" w:type="dxa"/>
            <w:shd w:val="clear" w:color="auto" w:fill="auto"/>
            <w:vAlign w:val="center"/>
          </w:tcPr>
          <w:p w14:paraId="1F969BFB" w14:textId="77777777" w:rsidR="0009560A" w:rsidRPr="001F0913" w:rsidRDefault="00A45336" w:rsidP="0009560A">
            <w:pPr>
              <w:rPr>
                <w:rFonts w:ascii="Arial" w:hAnsi="Arial" w:cs="Arial"/>
                <w:sz w:val="20"/>
              </w:rPr>
            </w:pPr>
            <w:r w:rsidRPr="001F0913">
              <w:rPr>
                <w:rFonts w:ascii="Arial" w:hAnsi="Arial" w:cs="Arial"/>
                <w:noProof/>
                <w:lang w:eastAsia="es-MX"/>
              </w:rPr>
              <mc:AlternateContent>
                <mc:Choice Requires="wps">
                  <w:drawing>
                    <wp:anchor distT="0" distB="0" distL="114300" distR="114300" simplePos="0" relativeHeight="251658240" behindDoc="0" locked="0" layoutInCell="1" allowOverlap="1" wp14:anchorId="493CFDFD" wp14:editId="43E8AC26">
                      <wp:simplePos x="0" y="0"/>
                      <wp:positionH relativeFrom="column">
                        <wp:posOffset>15240</wp:posOffset>
                      </wp:positionH>
                      <wp:positionV relativeFrom="paragraph">
                        <wp:posOffset>259715</wp:posOffset>
                      </wp:positionV>
                      <wp:extent cx="2295525" cy="0"/>
                      <wp:effectExtent l="5080" t="5080" r="13970" b="1397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5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B2527D" id="AutoShape 5" o:spid="_x0000_s1026" type="#_x0000_t32" style="position:absolute;margin-left:1.2pt;margin-top:20.45pt;width:180.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"/>
                  </w:pict>
                </mc:Fallback>
              </mc:AlternateContent>
            </w:r>
          </w:p>
        </w:tc>
      </w:tr>
      <w:tr w:rsidR="0009560A" w:rsidRPr="001F0913" w14:paraId="3D2D80BE" w14:textId="77777777" w:rsidTr="00983255">
        <w:trPr>
          <w:jc w:val="center"/>
        </w:trPr>
        <w:tc>
          <w:tcPr>
            <w:tcW w:w="3794" w:type="dxa"/>
            <w:shd w:val="clear" w:color="auto" w:fill="auto"/>
            <w:vAlign w:val="center"/>
          </w:tcPr>
          <w:p w14:paraId="183819D8" w14:textId="0FC98029" w:rsidR="0009560A" w:rsidRPr="00AA3238" w:rsidRDefault="00677E9B" w:rsidP="00983255">
            <w:pPr>
              <w:jc w:val="center"/>
              <w:rPr>
                <w:rFonts w:ascii="Arial" w:hAnsi="Arial" w:cs="Arial"/>
                <w:b/>
                <w:sz w:val="20"/>
              </w:rPr>
            </w:pPr>
            <w:bookmarkStart w:id="3" w:name="firma1"/>
            <w:bookmarkEnd w:id="3"/>
            <w:r>
              <w:rPr>
                <w:rFonts w:ascii="Arial" w:hAnsi="Arial" w:cs="Arial"/>
                <w:b/>
                <w:sz w:val="20"/>
              </w:rPr>
              <w:t>JUAN LUIS AGUILAR GARCIA</w:t>
            </w:r>
          </w:p>
          <w:p w14:paraId="3B442D8A" w14:textId="65E7041D" w:rsidR="0009560A" w:rsidRPr="00AA3238" w:rsidRDefault="00677E9B" w:rsidP="00983255">
            <w:pPr>
              <w:jc w:val="center"/>
              <w:rPr>
                <w:rFonts w:ascii="Arial" w:hAnsi="Arial" w:cs="Arial"/>
                <w:b/>
                <w:sz w:val="20"/>
              </w:rPr>
            </w:pPr>
            <w:bookmarkStart w:id="4" w:name="Cargo1"/>
            <w:bookmarkEnd w:id="4"/>
            <w:r>
              <w:rPr>
                <w:rFonts w:ascii="Arial" w:hAnsi="Arial" w:cs="Arial"/>
                <w:b/>
                <w:sz w:val="20"/>
              </w:rPr>
              <w:t>PRESIDENTE MUNICIPAL</w:t>
            </w:r>
          </w:p>
        </w:tc>
        <w:tc>
          <w:tcPr>
            <w:tcW w:w="1276" w:type="dxa"/>
            <w:shd w:val="clear" w:color="auto" w:fill="auto"/>
            <w:vAlign w:val="center"/>
          </w:tcPr>
          <w:p w14:paraId="4193D835" w14:textId="77777777" w:rsidR="0009560A" w:rsidRPr="001F0913" w:rsidRDefault="0009560A" w:rsidP="0009560A">
            <w:pPr>
              <w:rPr>
                <w:rFonts w:ascii="Arial" w:hAnsi="Arial" w:cs="Arial"/>
                <w:sz w:val="20"/>
              </w:rPr>
            </w:pPr>
          </w:p>
        </w:tc>
        <w:tc>
          <w:tcPr>
            <w:tcW w:w="3908" w:type="dxa"/>
            <w:shd w:val="clear" w:color="auto" w:fill="auto"/>
            <w:vAlign w:val="center"/>
          </w:tcPr>
          <w:p w14:paraId="5FDA3142" w14:textId="40465992" w:rsidR="0009560A" w:rsidRPr="00AA3238" w:rsidRDefault="00677E9B" w:rsidP="00983255">
            <w:pPr>
              <w:jc w:val="center"/>
              <w:rPr>
                <w:rFonts w:ascii="Arial" w:hAnsi="Arial" w:cs="Arial"/>
                <w:b/>
                <w:sz w:val="20"/>
              </w:rPr>
            </w:pPr>
            <w:bookmarkStart w:id="5" w:name="firma2"/>
            <w:bookmarkEnd w:id="5"/>
            <w:r>
              <w:rPr>
                <w:rFonts w:ascii="Arial" w:hAnsi="Arial" w:cs="Arial"/>
                <w:b/>
                <w:sz w:val="20"/>
              </w:rPr>
              <w:t>LUIS ERNESTO HERNANDEZ LOMELI</w:t>
            </w:r>
          </w:p>
          <w:p w14:paraId="50A0A02B" w14:textId="6A95B0B6" w:rsidR="0009560A" w:rsidRPr="00AA3238" w:rsidRDefault="00677E9B" w:rsidP="00983255">
            <w:pPr>
              <w:jc w:val="center"/>
              <w:rPr>
                <w:rFonts w:ascii="Arial" w:hAnsi="Arial" w:cs="Arial"/>
                <w:b/>
                <w:sz w:val="20"/>
              </w:rPr>
            </w:pPr>
            <w:bookmarkStart w:id="6" w:name="Cargo2"/>
            <w:bookmarkEnd w:id="6"/>
            <w:r>
              <w:rPr>
                <w:rFonts w:ascii="Arial" w:hAnsi="Arial" w:cs="Arial"/>
                <w:b/>
                <w:sz w:val="20"/>
              </w:rPr>
              <w:t>ENCARGADO DE LA HACIENDA MUNICIPAL</w:t>
            </w:r>
          </w:p>
        </w:tc>
      </w:tr>
    </w:tbl>
    <w:p w14:paraId="15B0BAD0" w14:textId="0BA930B4" w:rsidR="0009560A" w:rsidRPr="00721735" w:rsidRDefault="00677E9B" w:rsidP="00DC7A0D">
      <w:pPr>
        <w:jc w:val="center"/>
        <w:rPr>
          <w:rFonts w:ascii="C39HrP24DhTt" w:hAnsi="C39HrP24DhTt" w:cs="Arial"/>
          <w:sz w:val="44"/>
          <w:szCs w:val="44"/>
        </w:rPr>
      </w:pPr>
      <w:bookmarkStart w:id="7" w:name="codigo"/>
      <w:bookmarkEnd w:id="7"/>
      <w:r>
        <w:rPr>
          <w:rFonts w:ascii="C39HrP24DhTt" w:hAnsi="C39HrP24DhTt" w:cs="Arial"/>
          <w:sz w:val="44"/>
          <w:szCs w:val="44"/>
        </w:rPr>
        <w:t>ASEJ2020-14-24-06-2021-1</w:t>
      </w:r>
    </w:p>
    <w:p w14:paraId="37FB8379" w14:textId="77777777" w:rsidR="008E706B" w:rsidRDefault="008E706B">
      <w:pPr>
        <w:rPr>
          <w:rFonts w:ascii="Arial" w:hAnsi="Arial" w:cs="Arial"/>
        </w:rPr>
      </w:pPr>
    </w:p>
    <w:p w14:paraId="46EF7E7E" w14:textId="77777777" w:rsidR="008E706B" w:rsidRPr="00B157EC" w:rsidRDefault="008E706B" w:rsidP="008E706B">
      <w:pPr>
        <w:rPr>
          <w:rFonts w:ascii="Arial" w:hAnsi="Arial" w:cs="Arial"/>
          <w:sz w:val="24"/>
          <w:szCs w:val="24"/>
        </w:rPr>
      </w:pPr>
      <w:r w:rsidRPr="00B157EC">
        <w:rPr>
          <w:rFonts w:ascii="Arial" w:hAnsi="Arial" w:cs="Arial"/>
          <w:sz w:val="24"/>
          <w:szCs w:val="24"/>
        </w:rPr>
        <w:t>Bajo protesta de decir verdad declaramos que los Estados Financieros y sus Notas son razonablemente correctos y responsabilidad del emisor.</w:t>
      </w:r>
    </w:p>
    <w:p w14:paraId="6CD470D3" w14:textId="77777777" w:rsidR="008E706B" w:rsidRPr="007326BD" w:rsidRDefault="008E706B">
      <w:pPr>
        <w:rPr>
          <w:rFonts w:ascii="Arial" w:hAnsi="Arial" w:cs="Arial"/>
        </w:rPr>
      </w:pPr>
    </w:p>
    <w:sectPr w:rsidR="008E706B" w:rsidRPr="007326BD" w:rsidSect="0080660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39HrP24DhTt">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E83"/>
    <w:rsid w:val="0009560A"/>
    <w:rsid w:val="00245F49"/>
    <w:rsid w:val="002863DD"/>
    <w:rsid w:val="0040191D"/>
    <w:rsid w:val="004D1A2A"/>
    <w:rsid w:val="006628DA"/>
    <w:rsid w:val="00677E9B"/>
    <w:rsid w:val="007326BD"/>
    <w:rsid w:val="00806603"/>
    <w:rsid w:val="008A5017"/>
    <w:rsid w:val="008E706B"/>
    <w:rsid w:val="00983255"/>
    <w:rsid w:val="009F5BF2"/>
    <w:rsid w:val="00A45336"/>
    <w:rsid w:val="00A45E83"/>
    <w:rsid w:val="00AA3238"/>
    <w:rsid w:val="00DC7A0D"/>
    <w:rsid w:val="00DE0BF9"/>
    <w:rsid w:val="00EF11D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AA080"/>
  <w15:chartTrackingRefBased/>
  <w15:docId w15:val="{B7434C81-568D-4649-840E-C369D5849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603"/>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A45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1746</Words>
  <Characters>9606</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ASEJ</Company>
  <LinksUpToDate>false</LinksUpToDate>
  <CharactersWithSpaces>11330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ASEJ;Ramiro Ochoa Cisneros</dc:creator>
  <cp:keywords/>
  <cp:lastModifiedBy>Carlos</cp:lastModifiedBy>
  <cp:revision>9</cp:revision>
  <cp:lastPrinted>2021-06-24T15:16:00Z</cp:lastPrinted>
  <dcterms:created xsi:type="dcterms:W3CDTF">2020-05-27T16:04:00Z</dcterms:created>
  <dcterms:modified xsi:type="dcterms:W3CDTF">2022-02-21T14:37:00Z</dcterms:modified>
</cp:coreProperties>
</file>